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27F5CE" w14:textId="77777777" w:rsidR="003A1023" w:rsidRDefault="0078519A" w:rsidP="003A1023">
      <w:pPr>
        <w:spacing w:after="0" w:line="240" w:lineRule="auto"/>
        <w:jc w:val="center"/>
        <w:rPr>
          <w:rFonts w:ascii="Calibri" w:hAnsi="Calibri" w:cs="Calibri"/>
          <w:b/>
        </w:rPr>
      </w:pPr>
      <w:r w:rsidRPr="0021236D">
        <w:rPr>
          <w:rFonts w:ascii="Calibri" w:hAnsi="Calibri" w:cs="Calibri"/>
          <w:b/>
        </w:rPr>
        <w:t xml:space="preserve">Measuring Results of </w:t>
      </w:r>
    </w:p>
    <w:p w14:paraId="4F5E5160" w14:textId="59898316" w:rsidR="00B55405" w:rsidRPr="0021236D" w:rsidRDefault="00814DC4" w:rsidP="003A1023">
      <w:pPr>
        <w:spacing w:after="0" w:line="240" w:lineRule="auto"/>
        <w:jc w:val="center"/>
        <w:rPr>
          <w:rFonts w:ascii="Calibri" w:hAnsi="Calibri" w:cs="Calibri"/>
          <w:b/>
        </w:rPr>
      </w:pPr>
      <w:proofErr w:type="gramStart"/>
      <w:r>
        <w:rPr>
          <w:rFonts w:ascii="Calibri" w:hAnsi="Calibri" w:cs="Calibri"/>
          <w:b/>
        </w:rPr>
        <w:t>a</w:t>
      </w:r>
      <w:proofErr w:type="gramEnd"/>
      <w:r w:rsidR="003A1023">
        <w:rPr>
          <w:rFonts w:ascii="Calibri" w:hAnsi="Calibri" w:cs="Calibri"/>
          <w:b/>
        </w:rPr>
        <w:t xml:space="preserve"> Rural Road</w:t>
      </w:r>
      <w:r>
        <w:rPr>
          <w:rFonts w:ascii="Calibri" w:hAnsi="Calibri" w:cs="Calibri"/>
          <w:b/>
        </w:rPr>
        <w:t xml:space="preserve"> </w:t>
      </w:r>
      <w:r w:rsidR="003A1023" w:rsidRPr="003A1023">
        <w:rPr>
          <w:rFonts w:ascii="Calibri" w:hAnsi="Calibri" w:cs="Calibri"/>
          <w:b/>
        </w:rPr>
        <w:t>Rehabilitation Project in Armenia</w:t>
      </w:r>
    </w:p>
    <w:p w14:paraId="648EEA93" w14:textId="77777777" w:rsidR="003A1023" w:rsidRDefault="003A1023" w:rsidP="0021236D">
      <w:pPr>
        <w:spacing w:after="0" w:line="240" w:lineRule="auto"/>
        <w:rPr>
          <w:rFonts w:ascii="Calibri" w:hAnsi="Calibri" w:cs="Calibri"/>
          <w:b/>
        </w:rPr>
      </w:pPr>
    </w:p>
    <w:p w14:paraId="70649DA6" w14:textId="77777777" w:rsidR="0078519A" w:rsidRDefault="0078519A" w:rsidP="0021236D">
      <w:pPr>
        <w:spacing w:after="0" w:line="240" w:lineRule="auto"/>
        <w:rPr>
          <w:rFonts w:ascii="Calibri" w:hAnsi="Calibri" w:cs="Calibri"/>
          <w:b/>
        </w:rPr>
      </w:pPr>
      <w:r w:rsidRPr="0021236D">
        <w:rPr>
          <w:rFonts w:ascii="Calibri" w:hAnsi="Calibri" w:cs="Calibri"/>
          <w:b/>
        </w:rPr>
        <w:t>In Context</w:t>
      </w:r>
    </w:p>
    <w:p w14:paraId="5F00D7F9" w14:textId="77777777" w:rsidR="00466174" w:rsidRPr="00236EE1" w:rsidRDefault="00650D9A" w:rsidP="00BD0220">
      <w:pPr>
        <w:spacing w:after="0" w:line="240" w:lineRule="auto"/>
        <w:rPr>
          <w:sz w:val="23"/>
          <w:szCs w:val="23"/>
        </w:rPr>
      </w:pPr>
      <w:r w:rsidRPr="0021236D">
        <w:rPr>
          <w:rFonts w:ascii="Calibri" w:hAnsi="Calibri" w:cs="Calibri"/>
        </w:rPr>
        <w:t xml:space="preserve">The MCC </w:t>
      </w:r>
      <w:r w:rsidR="0062302A">
        <w:rPr>
          <w:rFonts w:ascii="Calibri" w:hAnsi="Calibri" w:cs="Calibri"/>
        </w:rPr>
        <w:t>c</w:t>
      </w:r>
      <w:r w:rsidRPr="0021236D">
        <w:rPr>
          <w:rFonts w:ascii="Calibri" w:hAnsi="Calibri" w:cs="Calibri"/>
        </w:rPr>
        <w:t xml:space="preserve">ompact with </w:t>
      </w:r>
      <w:r w:rsidR="003A264F" w:rsidRPr="003E6966">
        <w:rPr>
          <w:rFonts w:ascii="Calibri" w:hAnsi="Calibri" w:cs="Calibri"/>
        </w:rPr>
        <w:t>Armenia</w:t>
      </w:r>
      <w:r w:rsidRPr="003E6966">
        <w:rPr>
          <w:rFonts w:ascii="Calibri" w:hAnsi="Calibri" w:cs="Calibri"/>
        </w:rPr>
        <w:t xml:space="preserve"> was a five-year investment (</w:t>
      </w:r>
      <w:r w:rsidR="004D4B30" w:rsidRPr="003E6966">
        <w:rPr>
          <w:rFonts w:ascii="Calibri" w:hAnsi="Calibri" w:cs="Calibri"/>
        </w:rPr>
        <w:t>200</w:t>
      </w:r>
      <w:r w:rsidR="003A264F" w:rsidRPr="003E6966">
        <w:rPr>
          <w:rFonts w:ascii="Calibri" w:hAnsi="Calibri" w:cs="Calibri"/>
        </w:rPr>
        <w:t>6-2011)</w:t>
      </w:r>
      <w:r w:rsidRPr="003E6966">
        <w:rPr>
          <w:rFonts w:ascii="Calibri" w:hAnsi="Calibri" w:cs="Calibri"/>
        </w:rPr>
        <w:t xml:space="preserve"> of </w:t>
      </w:r>
      <w:r w:rsidR="00E85899" w:rsidRPr="003E6966">
        <w:rPr>
          <w:rFonts w:ascii="Calibri" w:hAnsi="Calibri" w:cs="Calibri"/>
        </w:rPr>
        <w:t>originally $236</w:t>
      </w:r>
      <w:r w:rsidR="00EC4864" w:rsidRPr="003E6966">
        <w:rPr>
          <w:rFonts w:ascii="Calibri" w:hAnsi="Calibri" w:cs="Calibri"/>
        </w:rPr>
        <w:t xml:space="preserve"> million </w:t>
      </w:r>
      <w:r w:rsidR="0062302A" w:rsidRPr="003E6966">
        <w:rPr>
          <w:rFonts w:ascii="Calibri" w:hAnsi="Calibri" w:cs="Calibri"/>
        </w:rPr>
        <w:t>in</w:t>
      </w:r>
      <w:r w:rsidRPr="003E6966">
        <w:rPr>
          <w:rFonts w:ascii="Calibri" w:hAnsi="Calibri" w:cs="Calibri"/>
        </w:rPr>
        <w:t xml:space="preserve"> </w:t>
      </w:r>
      <w:r w:rsidR="004D4B30" w:rsidRPr="003E6966">
        <w:rPr>
          <w:rFonts w:ascii="Calibri" w:hAnsi="Calibri" w:cs="Calibri"/>
        </w:rPr>
        <w:t>two</w:t>
      </w:r>
      <w:r w:rsidRPr="003E6966">
        <w:rPr>
          <w:rFonts w:ascii="Calibri" w:hAnsi="Calibri" w:cs="Calibri"/>
        </w:rPr>
        <w:t xml:space="preserve"> projects: </w:t>
      </w:r>
      <w:r w:rsidR="00886780" w:rsidRPr="003E6966">
        <w:rPr>
          <w:rFonts w:ascii="Calibri" w:hAnsi="Calibri" w:cs="Calibri"/>
        </w:rPr>
        <w:t xml:space="preserve"> </w:t>
      </w:r>
      <w:r w:rsidR="004D4B30" w:rsidRPr="003E6966">
        <w:rPr>
          <w:rFonts w:ascii="Calibri" w:hAnsi="Calibri" w:cs="Calibri"/>
        </w:rPr>
        <w:t xml:space="preserve">(i) the </w:t>
      </w:r>
      <w:r w:rsidR="00B3504F" w:rsidRPr="003E6966">
        <w:rPr>
          <w:rFonts w:ascii="Calibri" w:hAnsi="Calibri" w:cs="Calibri"/>
        </w:rPr>
        <w:t xml:space="preserve">Rural Road Rehabilitation Project </w:t>
      </w:r>
      <w:r w:rsidR="00E85899" w:rsidRPr="003E6966">
        <w:rPr>
          <w:rFonts w:ascii="Calibri" w:hAnsi="Calibri" w:cs="Calibri"/>
        </w:rPr>
        <w:t>(</w:t>
      </w:r>
      <w:r w:rsidR="005E02B1" w:rsidRPr="003E6966">
        <w:rPr>
          <w:rFonts w:ascii="Calibri" w:hAnsi="Calibri" w:cs="Calibri"/>
        </w:rPr>
        <w:t>RRRP) (</w:t>
      </w:r>
      <w:r w:rsidR="00E85899" w:rsidRPr="003E6966">
        <w:rPr>
          <w:rFonts w:ascii="Calibri" w:hAnsi="Calibri" w:cs="Calibri"/>
        </w:rPr>
        <w:t xml:space="preserve">$67 million) </w:t>
      </w:r>
      <w:r w:rsidR="004D4B30" w:rsidRPr="003E6966">
        <w:rPr>
          <w:rFonts w:ascii="Calibri" w:hAnsi="Calibri" w:cs="Calibri"/>
        </w:rPr>
        <w:t>and (ii)</w:t>
      </w:r>
      <w:r w:rsidR="00B3504F" w:rsidRPr="003E6966">
        <w:rPr>
          <w:rFonts w:ascii="Calibri" w:hAnsi="Calibri" w:cs="Calibri"/>
        </w:rPr>
        <w:t xml:space="preserve"> the</w:t>
      </w:r>
      <w:r w:rsidR="004D4B30" w:rsidRPr="003E6966">
        <w:rPr>
          <w:rFonts w:ascii="Calibri" w:hAnsi="Calibri" w:cs="Calibri"/>
        </w:rPr>
        <w:t xml:space="preserve"> </w:t>
      </w:r>
      <w:r w:rsidR="00B3504F" w:rsidRPr="003E6966">
        <w:rPr>
          <w:rFonts w:ascii="Calibri" w:hAnsi="Calibri" w:cs="Calibri"/>
        </w:rPr>
        <w:t>Irrigated Agriculture Project</w:t>
      </w:r>
      <w:r w:rsidR="00E85899" w:rsidRPr="003E6966">
        <w:rPr>
          <w:rFonts w:ascii="Calibri" w:hAnsi="Calibri" w:cs="Calibri"/>
        </w:rPr>
        <w:t xml:space="preserve"> ($169 million)</w:t>
      </w:r>
      <w:r w:rsidRPr="003E6966">
        <w:rPr>
          <w:rFonts w:ascii="Calibri" w:hAnsi="Calibri" w:cs="Calibri"/>
        </w:rPr>
        <w:t xml:space="preserve">. </w:t>
      </w:r>
      <w:r w:rsidR="00FF2C13" w:rsidRPr="003E6966">
        <w:rPr>
          <w:rFonts w:ascii="Calibri" w:hAnsi="Calibri" w:cs="Calibri"/>
        </w:rPr>
        <w:t>As a result of post-election events in March 2008 that were inconsistent with MCC’s pr</w:t>
      </w:r>
      <w:r w:rsidR="00D86FFF" w:rsidRPr="003E6966">
        <w:rPr>
          <w:rFonts w:ascii="Calibri" w:hAnsi="Calibri" w:cs="Calibri"/>
        </w:rPr>
        <w:t>inciple</w:t>
      </w:r>
      <w:r w:rsidR="00FF2C13" w:rsidRPr="003E6966">
        <w:rPr>
          <w:rFonts w:ascii="Calibri" w:hAnsi="Calibri" w:cs="Calibri"/>
        </w:rPr>
        <w:t xml:space="preserve"> </w:t>
      </w:r>
      <w:r w:rsidR="00D86FFF" w:rsidRPr="003E6966">
        <w:rPr>
          <w:rFonts w:ascii="Calibri" w:hAnsi="Calibri" w:cs="Calibri"/>
        </w:rPr>
        <w:t xml:space="preserve">of </w:t>
      </w:r>
      <w:r w:rsidR="00FF2C13" w:rsidRPr="003E6966">
        <w:rPr>
          <w:rFonts w:ascii="Calibri" w:hAnsi="Calibri" w:cs="Calibri"/>
        </w:rPr>
        <w:t>promoting democratic governance and related declines in Armenia’s performance on MCC’s Ruling Justly indicator, MCC placed a hold on funding fo</w:t>
      </w:r>
      <w:r w:rsidR="00441EC9" w:rsidRPr="003E6966">
        <w:rPr>
          <w:rFonts w:ascii="Calibri" w:hAnsi="Calibri" w:cs="Calibri"/>
        </w:rPr>
        <w:t>r the compact’s RRRP</w:t>
      </w:r>
      <w:r w:rsidR="00D86FFF" w:rsidRPr="003E6966">
        <w:rPr>
          <w:rFonts w:ascii="Calibri" w:hAnsi="Calibri" w:cs="Calibri"/>
        </w:rPr>
        <w:t xml:space="preserve">. </w:t>
      </w:r>
      <w:r w:rsidR="005E02B1" w:rsidRPr="003E6966">
        <w:rPr>
          <w:rFonts w:ascii="Calibri" w:hAnsi="Calibri" w:cs="Calibri"/>
        </w:rPr>
        <w:t xml:space="preserve">Approximately 24 kilometers </w:t>
      </w:r>
      <w:r w:rsidR="00EA4CB7" w:rsidRPr="003E6966">
        <w:rPr>
          <w:rFonts w:ascii="Calibri" w:hAnsi="Calibri" w:cs="Calibri"/>
        </w:rPr>
        <w:t>of pilot roads were improved</w:t>
      </w:r>
      <w:r w:rsidR="005E02B1" w:rsidRPr="003E6966">
        <w:rPr>
          <w:rFonts w:ascii="Calibri" w:hAnsi="Calibri" w:cs="Calibri"/>
        </w:rPr>
        <w:t xml:space="preserve"> under the </w:t>
      </w:r>
      <w:r w:rsidR="00DA0EB9" w:rsidRPr="003E6966">
        <w:rPr>
          <w:rFonts w:ascii="Calibri" w:hAnsi="Calibri" w:cs="Calibri"/>
        </w:rPr>
        <w:t xml:space="preserve">MCC </w:t>
      </w:r>
      <w:r w:rsidR="005E02B1" w:rsidRPr="003E6966">
        <w:rPr>
          <w:rFonts w:ascii="Calibri" w:hAnsi="Calibri" w:cs="Calibri"/>
        </w:rPr>
        <w:t>project using $</w:t>
      </w:r>
      <w:r w:rsidR="006C6A85" w:rsidRPr="003E6966">
        <w:rPr>
          <w:rFonts w:ascii="Calibri" w:hAnsi="Calibri" w:cs="Calibri"/>
        </w:rPr>
        <w:t>8.4</w:t>
      </w:r>
      <w:r w:rsidR="005E02B1" w:rsidRPr="003E6966">
        <w:rPr>
          <w:rFonts w:ascii="Calibri" w:hAnsi="Calibri" w:cs="Calibri"/>
        </w:rPr>
        <w:t xml:space="preserve"> million before the hold was placed by MCC</w:t>
      </w:r>
      <w:r w:rsidR="00120FF8" w:rsidRPr="003E6966">
        <w:rPr>
          <w:rFonts w:ascii="Calibri" w:hAnsi="Calibri" w:cs="Calibri"/>
        </w:rPr>
        <w:t>; however no additional road construction was done under the</w:t>
      </w:r>
      <w:r w:rsidR="00120FF8">
        <w:rPr>
          <w:rFonts w:ascii="Calibri" w:hAnsi="Calibri" w:cs="Calibri"/>
        </w:rPr>
        <w:t xml:space="preserve"> MCC program</w:t>
      </w:r>
      <w:r w:rsidR="005E02B1">
        <w:rPr>
          <w:rFonts w:ascii="Calibri" w:hAnsi="Calibri" w:cs="Calibri"/>
        </w:rPr>
        <w:t>. In 2009</w:t>
      </w:r>
      <w:r w:rsidR="005E02B1">
        <w:rPr>
          <w:sz w:val="23"/>
          <w:szCs w:val="23"/>
        </w:rPr>
        <w:t xml:space="preserve">, the Armenian government began accessing loans from the World Bank </w:t>
      </w:r>
      <w:r w:rsidR="005E02B1" w:rsidRPr="000C6938">
        <w:rPr>
          <w:sz w:val="23"/>
          <w:szCs w:val="23"/>
        </w:rPr>
        <w:t>to rehabilitate many road sections that were included originally in the RR</w:t>
      </w:r>
      <w:r w:rsidR="007214EE" w:rsidRPr="000C6938">
        <w:rPr>
          <w:sz w:val="23"/>
          <w:szCs w:val="23"/>
        </w:rPr>
        <w:t>R</w:t>
      </w:r>
      <w:r w:rsidR="005E02B1" w:rsidRPr="000C6938">
        <w:rPr>
          <w:sz w:val="23"/>
          <w:szCs w:val="23"/>
        </w:rPr>
        <w:t>P plans.</w:t>
      </w:r>
      <w:r w:rsidR="00DA0EB9" w:rsidRPr="000C6938">
        <w:rPr>
          <w:sz w:val="23"/>
          <w:szCs w:val="23"/>
        </w:rPr>
        <w:t xml:space="preserve"> Between 200</w:t>
      </w:r>
      <w:r w:rsidR="000C6938" w:rsidRPr="000C6938">
        <w:rPr>
          <w:sz w:val="23"/>
          <w:szCs w:val="23"/>
        </w:rPr>
        <w:t>9</w:t>
      </w:r>
      <w:r w:rsidR="00DA0EB9">
        <w:rPr>
          <w:sz w:val="23"/>
          <w:szCs w:val="23"/>
        </w:rPr>
        <w:t xml:space="preserve"> and 2013, the World Bank financed $10</w:t>
      </w:r>
      <w:r w:rsidR="004F2A44">
        <w:rPr>
          <w:sz w:val="23"/>
          <w:szCs w:val="23"/>
        </w:rPr>
        <w:t>0</w:t>
      </w:r>
      <w:r w:rsidR="00DA0EB9">
        <w:rPr>
          <w:sz w:val="23"/>
          <w:szCs w:val="23"/>
        </w:rPr>
        <w:t xml:space="preserve"> million</w:t>
      </w:r>
      <w:r w:rsidR="004F2A44">
        <w:rPr>
          <w:sz w:val="23"/>
          <w:szCs w:val="23"/>
        </w:rPr>
        <w:t xml:space="preserve"> of road rehabilitation for 430 kilometers </w:t>
      </w:r>
      <w:r w:rsidR="00BB613C">
        <w:rPr>
          <w:sz w:val="23"/>
          <w:szCs w:val="23"/>
        </w:rPr>
        <w:t xml:space="preserve">under the Lifeline Road </w:t>
      </w:r>
      <w:r w:rsidR="00BB613C" w:rsidRPr="00236EE1">
        <w:rPr>
          <w:sz w:val="23"/>
          <w:szCs w:val="23"/>
        </w:rPr>
        <w:t xml:space="preserve">Improvement Project </w:t>
      </w:r>
      <w:r w:rsidR="006646D1" w:rsidRPr="00236EE1">
        <w:rPr>
          <w:sz w:val="23"/>
          <w:szCs w:val="23"/>
        </w:rPr>
        <w:t xml:space="preserve">primarily </w:t>
      </w:r>
      <w:r w:rsidR="00DA0EB9" w:rsidRPr="00236EE1">
        <w:rPr>
          <w:sz w:val="23"/>
          <w:szCs w:val="23"/>
        </w:rPr>
        <w:t>based on the MCC road designs.</w:t>
      </w:r>
    </w:p>
    <w:p w14:paraId="3E6A503C" w14:textId="77777777" w:rsidR="00466174" w:rsidRPr="00236EE1" w:rsidRDefault="00466174" w:rsidP="00BD0220">
      <w:pPr>
        <w:spacing w:after="0" w:line="240" w:lineRule="auto"/>
        <w:rPr>
          <w:sz w:val="23"/>
          <w:szCs w:val="23"/>
        </w:rPr>
      </w:pPr>
    </w:p>
    <w:p w14:paraId="46F53E68" w14:textId="175E389B" w:rsidR="00535BC0" w:rsidRPr="00236EE1" w:rsidRDefault="00E836EF" w:rsidP="00BD0220">
      <w:pPr>
        <w:spacing w:after="0" w:line="240" w:lineRule="auto"/>
        <w:rPr>
          <w:sz w:val="23"/>
          <w:szCs w:val="23"/>
        </w:rPr>
      </w:pPr>
      <w:r w:rsidRPr="00236EE1">
        <w:rPr>
          <w:sz w:val="23"/>
          <w:szCs w:val="23"/>
        </w:rPr>
        <w:t>As part of the c</w:t>
      </w:r>
      <w:r w:rsidR="005A13A9" w:rsidRPr="00236EE1">
        <w:rPr>
          <w:sz w:val="23"/>
          <w:szCs w:val="23"/>
        </w:rPr>
        <w:t>ompact M</w:t>
      </w:r>
      <w:r w:rsidR="00003779" w:rsidRPr="00236EE1">
        <w:rPr>
          <w:sz w:val="23"/>
          <w:szCs w:val="23"/>
        </w:rPr>
        <w:t xml:space="preserve">onitoring </w:t>
      </w:r>
      <w:r w:rsidR="005A13A9" w:rsidRPr="00236EE1">
        <w:rPr>
          <w:sz w:val="23"/>
          <w:szCs w:val="23"/>
        </w:rPr>
        <w:t>&amp;</w:t>
      </w:r>
      <w:r w:rsidR="00003779" w:rsidRPr="00236EE1">
        <w:rPr>
          <w:sz w:val="23"/>
          <w:szCs w:val="23"/>
        </w:rPr>
        <w:t xml:space="preserve"> </w:t>
      </w:r>
      <w:r w:rsidR="005A13A9" w:rsidRPr="00236EE1">
        <w:rPr>
          <w:sz w:val="23"/>
          <w:szCs w:val="23"/>
        </w:rPr>
        <w:t>E</w:t>
      </w:r>
      <w:r w:rsidR="00003779" w:rsidRPr="00236EE1">
        <w:rPr>
          <w:sz w:val="23"/>
          <w:szCs w:val="23"/>
        </w:rPr>
        <w:t>valuation (M&amp;E)</w:t>
      </w:r>
      <w:r w:rsidR="005A13A9" w:rsidRPr="00236EE1">
        <w:rPr>
          <w:sz w:val="23"/>
          <w:szCs w:val="23"/>
        </w:rPr>
        <w:t xml:space="preserve"> Plan, </w:t>
      </w:r>
      <w:r w:rsidR="00D47CE0" w:rsidRPr="00236EE1">
        <w:rPr>
          <w:sz w:val="23"/>
          <w:szCs w:val="23"/>
        </w:rPr>
        <w:t xml:space="preserve">MCC </w:t>
      </w:r>
      <w:r w:rsidR="00091690" w:rsidRPr="00236EE1">
        <w:rPr>
          <w:sz w:val="23"/>
          <w:szCs w:val="23"/>
        </w:rPr>
        <w:t xml:space="preserve">funded an </w:t>
      </w:r>
      <w:r w:rsidR="005A13A9" w:rsidRPr="00236EE1">
        <w:rPr>
          <w:sz w:val="23"/>
          <w:szCs w:val="23"/>
        </w:rPr>
        <w:t xml:space="preserve">increase in the </w:t>
      </w:r>
      <w:r w:rsidR="00466174" w:rsidRPr="00236EE1">
        <w:rPr>
          <w:sz w:val="23"/>
          <w:szCs w:val="23"/>
        </w:rPr>
        <w:t>sample</w:t>
      </w:r>
      <w:r w:rsidR="00091690" w:rsidRPr="00236EE1">
        <w:rPr>
          <w:sz w:val="23"/>
          <w:szCs w:val="23"/>
        </w:rPr>
        <w:t xml:space="preserve"> </w:t>
      </w:r>
      <w:r w:rsidR="005A13A9" w:rsidRPr="00236EE1">
        <w:rPr>
          <w:sz w:val="23"/>
          <w:szCs w:val="23"/>
        </w:rPr>
        <w:t xml:space="preserve">size </w:t>
      </w:r>
      <w:r w:rsidR="00091690" w:rsidRPr="00236EE1">
        <w:rPr>
          <w:sz w:val="23"/>
          <w:szCs w:val="23"/>
        </w:rPr>
        <w:t>of</w:t>
      </w:r>
      <w:r w:rsidR="00466174" w:rsidRPr="00236EE1">
        <w:rPr>
          <w:sz w:val="23"/>
          <w:szCs w:val="23"/>
        </w:rPr>
        <w:t xml:space="preserve"> the Armenia national household survey</w:t>
      </w:r>
      <w:r w:rsidR="008E42BD" w:rsidRPr="00236EE1">
        <w:rPr>
          <w:sz w:val="23"/>
          <w:szCs w:val="23"/>
        </w:rPr>
        <w:t xml:space="preserve"> (</w:t>
      </w:r>
      <w:r w:rsidR="00535BC0" w:rsidRPr="00236EE1">
        <w:rPr>
          <w:sz w:val="23"/>
          <w:szCs w:val="23"/>
        </w:rPr>
        <w:t xml:space="preserve">the </w:t>
      </w:r>
      <w:r w:rsidR="00CC6F7C" w:rsidRPr="00236EE1">
        <w:rPr>
          <w:sz w:val="23"/>
          <w:szCs w:val="23"/>
        </w:rPr>
        <w:t>Integrated Survey of Living Standards</w:t>
      </w:r>
      <w:r w:rsidR="002B4892" w:rsidRPr="00236EE1">
        <w:rPr>
          <w:sz w:val="23"/>
          <w:szCs w:val="23"/>
        </w:rPr>
        <w:t xml:space="preserve"> or</w:t>
      </w:r>
      <w:r w:rsidR="008E42BD" w:rsidRPr="00236EE1">
        <w:rPr>
          <w:sz w:val="23"/>
          <w:szCs w:val="23"/>
        </w:rPr>
        <w:t xml:space="preserve"> ISLS</w:t>
      </w:r>
      <w:r w:rsidR="00CC6F7C" w:rsidRPr="00236EE1">
        <w:rPr>
          <w:sz w:val="23"/>
          <w:szCs w:val="23"/>
        </w:rPr>
        <w:t>)</w:t>
      </w:r>
      <w:r w:rsidR="00535BC0" w:rsidRPr="00236EE1">
        <w:rPr>
          <w:sz w:val="23"/>
          <w:szCs w:val="23"/>
        </w:rPr>
        <w:t xml:space="preserve"> </w:t>
      </w:r>
      <w:r w:rsidR="002B4892" w:rsidRPr="00236EE1">
        <w:rPr>
          <w:sz w:val="23"/>
          <w:szCs w:val="23"/>
        </w:rPr>
        <w:t>conducted</w:t>
      </w:r>
      <w:r w:rsidR="00535BC0" w:rsidRPr="00236EE1">
        <w:rPr>
          <w:sz w:val="23"/>
          <w:szCs w:val="23"/>
        </w:rPr>
        <w:t xml:space="preserve"> by the National Statistical Service of Armenia</w:t>
      </w:r>
      <w:r w:rsidR="00FE6B8A" w:rsidRPr="00236EE1">
        <w:rPr>
          <w:sz w:val="23"/>
          <w:szCs w:val="23"/>
        </w:rPr>
        <w:t xml:space="preserve"> on an annual basis</w:t>
      </w:r>
      <w:r w:rsidR="005A13A9" w:rsidRPr="00236EE1">
        <w:rPr>
          <w:sz w:val="23"/>
          <w:szCs w:val="23"/>
        </w:rPr>
        <w:t xml:space="preserve">. </w:t>
      </w:r>
      <w:r w:rsidR="008E42BD" w:rsidRPr="00236EE1">
        <w:rPr>
          <w:sz w:val="23"/>
          <w:szCs w:val="23"/>
        </w:rPr>
        <w:t xml:space="preserve">MCC’s independent evaluators planned on using the ISLS to evaluate the impact of RRRP before </w:t>
      </w:r>
      <w:r w:rsidR="002B4892" w:rsidRPr="00236EE1">
        <w:rPr>
          <w:sz w:val="23"/>
          <w:szCs w:val="23"/>
        </w:rPr>
        <w:t xml:space="preserve">the project was placed on indefinite hold. </w:t>
      </w:r>
      <w:r w:rsidR="00A364DF" w:rsidRPr="00236EE1">
        <w:rPr>
          <w:sz w:val="23"/>
          <w:szCs w:val="23"/>
        </w:rPr>
        <w:t xml:space="preserve">Since the increase in sample of the ISLS was not tied to the RRRP, the data collection continued until the end of the compact and was provided to MCC. </w:t>
      </w:r>
      <w:r w:rsidR="002B4892" w:rsidRPr="00236EE1">
        <w:rPr>
          <w:sz w:val="23"/>
          <w:szCs w:val="23"/>
        </w:rPr>
        <w:t xml:space="preserve">Both the </w:t>
      </w:r>
      <w:r w:rsidR="00471D2F" w:rsidRPr="00236EE1">
        <w:rPr>
          <w:sz w:val="23"/>
          <w:szCs w:val="23"/>
        </w:rPr>
        <w:t>G</w:t>
      </w:r>
      <w:r w:rsidR="00003779" w:rsidRPr="00236EE1">
        <w:rPr>
          <w:sz w:val="23"/>
          <w:szCs w:val="23"/>
        </w:rPr>
        <w:t xml:space="preserve">overnment of Armenia </w:t>
      </w:r>
      <w:r w:rsidR="002B4892" w:rsidRPr="00236EE1">
        <w:rPr>
          <w:sz w:val="23"/>
          <w:szCs w:val="23"/>
        </w:rPr>
        <w:t xml:space="preserve">and the World Bank expressed interest in having MCC’s independent evaluator analyze the ISLS data </w:t>
      </w:r>
      <w:r w:rsidR="009B4C7F" w:rsidRPr="00236EE1">
        <w:rPr>
          <w:sz w:val="23"/>
          <w:szCs w:val="23"/>
        </w:rPr>
        <w:t xml:space="preserve">as previously planned </w:t>
      </w:r>
      <w:r w:rsidR="002B4892" w:rsidRPr="00236EE1">
        <w:rPr>
          <w:sz w:val="23"/>
          <w:szCs w:val="23"/>
        </w:rPr>
        <w:t>to</w:t>
      </w:r>
      <w:r w:rsidR="00A364DF" w:rsidRPr="00236EE1">
        <w:rPr>
          <w:sz w:val="23"/>
          <w:szCs w:val="23"/>
        </w:rPr>
        <w:t xml:space="preserve"> provide</w:t>
      </w:r>
      <w:r w:rsidR="005C5ECF" w:rsidRPr="00236EE1">
        <w:rPr>
          <w:sz w:val="23"/>
          <w:szCs w:val="23"/>
        </w:rPr>
        <w:t xml:space="preserve"> insights into the impacts of rural road rehabilitation.</w:t>
      </w:r>
      <w:r w:rsidR="009F7BDE" w:rsidRPr="00236EE1">
        <w:rPr>
          <w:sz w:val="23"/>
          <w:szCs w:val="23"/>
        </w:rPr>
        <w:t xml:space="preserve"> </w:t>
      </w:r>
      <w:r w:rsidR="00E14E37" w:rsidRPr="00236EE1">
        <w:rPr>
          <w:sz w:val="23"/>
          <w:szCs w:val="23"/>
        </w:rPr>
        <w:t>In addition, MCC</w:t>
      </w:r>
      <w:r w:rsidR="00813EE3" w:rsidRPr="00236EE1">
        <w:rPr>
          <w:sz w:val="23"/>
          <w:szCs w:val="23"/>
        </w:rPr>
        <w:t xml:space="preserve"> saw value in completing the evaluation because of the large percentage of MCC’s portfolio invested in roads.</w:t>
      </w:r>
    </w:p>
    <w:p w14:paraId="604A7595" w14:textId="77777777" w:rsidR="000E1828" w:rsidRPr="00236EE1" w:rsidRDefault="000E1828" w:rsidP="0021236D">
      <w:pPr>
        <w:spacing w:after="0" w:line="240" w:lineRule="auto"/>
        <w:rPr>
          <w:rFonts w:ascii="Calibri" w:hAnsi="Calibri" w:cs="Calibri"/>
          <w:b/>
        </w:rPr>
      </w:pPr>
    </w:p>
    <w:p w14:paraId="238DB3B1" w14:textId="77777777" w:rsidR="005E775E" w:rsidRDefault="005E775E" w:rsidP="0021236D">
      <w:pPr>
        <w:spacing w:after="0" w:line="240" w:lineRule="auto"/>
        <w:rPr>
          <w:rFonts w:ascii="Calibri" w:hAnsi="Calibri" w:cs="Calibri"/>
          <w:b/>
        </w:rPr>
      </w:pPr>
      <w:r w:rsidRPr="00236EE1">
        <w:rPr>
          <w:rFonts w:ascii="Calibri" w:hAnsi="Calibri" w:cs="Calibri"/>
          <w:b/>
        </w:rPr>
        <w:t>Program Logic</w:t>
      </w:r>
    </w:p>
    <w:p w14:paraId="0E33499F" w14:textId="77777777" w:rsidR="00534506" w:rsidRDefault="004B008D" w:rsidP="008C5651">
      <w:pPr>
        <w:pStyle w:val="NoSpacing"/>
      </w:pPr>
      <w:r>
        <w:t>The original RRRP was designed to improve the quality of the lifeline road network in Armenia</w:t>
      </w:r>
      <w:r w:rsidR="008C5651">
        <w:t xml:space="preserve"> </w:t>
      </w:r>
      <w:r w:rsidR="00DB703F">
        <w:t xml:space="preserve">in order </w:t>
      </w:r>
      <w:r>
        <w:t xml:space="preserve">to </w:t>
      </w:r>
      <w:r w:rsidR="009B4AED">
        <w:t xml:space="preserve">enhance the economic performance of the agricultural sector. It was expected that improved road quality would </w:t>
      </w:r>
      <w:r w:rsidR="00AC0D99">
        <w:t>reduce</w:t>
      </w:r>
      <w:r>
        <w:t xml:space="preserve"> transportation costs</w:t>
      </w:r>
      <w:r w:rsidR="00DB703F">
        <w:t xml:space="preserve"> and increase vehicular activity</w:t>
      </w:r>
      <w:r w:rsidR="009B4AED">
        <w:t>, which would increase access to markets and social infrastructure. As a result, farmer</w:t>
      </w:r>
      <w:r w:rsidR="00D54063">
        <w:t>s w</w:t>
      </w:r>
      <w:r w:rsidR="008C5651">
        <w:t xml:space="preserve">ould </w:t>
      </w:r>
      <w:r w:rsidR="00D54063">
        <w:t xml:space="preserve">be able to </w:t>
      </w:r>
      <w:r w:rsidR="008C5651">
        <w:t xml:space="preserve">access </w:t>
      </w:r>
      <w:r w:rsidR="009B4AED">
        <w:t xml:space="preserve">agricultural </w:t>
      </w:r>
      <w:r w:rsidR="008C5651">
        <w:t>inputs at cheaper prices and</w:t>
      </w:r>
      <w:r w:rsidR="00D54063">
        <w:t xml:space="preserve"> </w:t>
      </w:r>
      <w:r w:rsidR="008C5651">
        <w:t xml:space="preserve">an increased number of retailers and buyers of agricultural products could access the communities, thus creating conditions for farmers to sell their agricultural production at a </w:t>
      </w:r>
      <w:r w:rsidR="00281645">
        <w:t>higher</w:t>
      </w:r>
      <w:r w:rsidR="000B0BEB">
        <w:t xml:space="preserve"> price</w:t>
      </w:r>
      <w:r w:rsidR="008C5651">
        <w:t>.</w:t>
      </w:r>
      <w:r w:rsidR="00B0102B">
        <w:t xml:space="preserve"> These changes would incentivize farmers to invest more, thereby increasing employment and production, leading to improved performance of the agricultural sector and poverty reduction.</w:t>
      </w:r>
    </w:p>
    <w:p w14:paraId="609C14B4" w14:textId="77777777" w:rsidR="000E1828" w:rsidRDefault="000E1828" w:rsidP="000E1828">
      <w:pPr>
        <w:pStyle w:val="Default"/>
        <w:spacing w:before="40" w:after="100"/>
        <w:rPr>
          <w:rFonts w:asciiTheme="minorHAnsi" w:eastAsiaTheme="minorHAnsi" w:hAnsiTheme="minorHAnsi" w:cstheme="minorBidi"/>
          <w:color w:val="auto"/>
          <w:sz w:val="22"/>
          <w:szCs w:val="22"/>
        </w:rPr>
      </w:pPr>
    </w:p>
    <w:p w14:paraId="5ED32337" w14:textId="57891AF2" w:rsidR="00E973C4" w:rsidRPr="000E1828" w:rsidRDefault="00E973C4" w:rsidP="000E1828">
      <w:pPr>
        <w:pStyle w:val="Default"/>
        <w:spacing w:before="40" w:after="100"/>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 xml:space="preserve">The World Bank’s program logic was </w:t>
      </w:r>
      <w:r w:rsidR="004222C0">
        <w:rPr>
          <w:rFonts w:asciiTheme="minorHAnsi" w:eastAsiaTheme="minorHAnsi" w:hAnsiTheme="minorHAnsi" w:cstheme="minorBidi"/>
          <w:color w:val="auto"/>
          <w:sz w:val="22"/>
          <w:szCs w:val="22"/>
        </w:rPr>
        <w:t xml:space="preserve">somewhat different from </w:t>
      </w:r>
      <w:r w:rsidR="00021D9C">
        <w:rPr>
          <w:rFonts w:asciiTheme="minorHAnsi" w:eastAsiaTheme="minorHAnsi" w:hAnsiTheme="minorHAnsi" w:cstheme="minorBidi"/>
          <w:color w:val="auto"/>
          <w:sz w:val="22"/>
          <w:szCs w:val="22"/>
        </w:rPr>
        <w:t xml:space="preserve">the </w:t>
      </w:r>
      <w:r>
        <w:rPr>
          <w:rFonts w:asciiTheme="minorHAnsi" w:eastAsiaTheme="minorHAnsi" w:hAnsiTheme="minorHAnsi" w:cstheme="minorBidi"/>
          <w:color w:val="auto"/>
          <w:sz w:val="22"/>
          <w:szCs w:val="22"/>
        </w:rPr>
        <w:t>RRRP’s</w:t>
      </w:r>
      <w:r w:rsidR="004222C0">
        <w:rPr>
          <w:rFonts w:asciiTheme="minorHAnsi" w:eastAsiaTheme="minorHAnsi" w:hAnsiTheme="minorHAnsi" w:cstheme="minorBidi"/>
          <w:color w:val="auto"/>
          <w:sz w:val="22"/>
          <w:szCs w:val="22"/>
        </w:rPr>
        <w:t>. S</w:t>
      </w:r>
      <w:r>
        <w:rPr>
          <w:rFonts w:asciiTheme="minorHAnsi" w:eastAsiaTheme="minorHAnsi" w:hAnsiTheme="minorHAnsi" w:cstheme="minorBidi"/>
          <w:color w:val="auto"/>
          <w:sz w:val="22"/>
          <w:szCs w:val="22"/>
        </w:rPr>
        <w:t xml:space="preserve">ince the World Bank project was approved during the 2009 financial crisis, there was an emphasis on creating </w:t>
      </w:r>
      <w:r w:rsidR="002F5831">
        <w:rPr>
          <w:rFonts w:asciiTheme="minorHAnsi" w:eastAsiaTheme="minorHAnsi" w:hAnsiTheme="minorHAnsi" w:cstheme="minorBidi"/>
          <w:color w:val="auto"/>
          <w:sz w:val="22"/>
          <w:szCs w:val="22"/>
        </w:rPr>
        <w:t xml:space="preserve">short-term </w:t>
      </w:r>
      <w:r>
        <w:rPr>
          <w:rFonts w:asciiTheme="minorHAnsi" w:eastAsiaTheme="minorHAnsi" w:hAnsiTheme="minorHAnsi" w:cstheme="minorBidi"/>
          <w:color w:val="auto"/>
          <w:sz w:val="22"/>
          <w:szCs w:val="22"/>
        </w:rPr>
        <w:t>employment through road construction.</w:t>
      </w:r>
      <w:r w:rsidR="004222C0">
        <w:rPr>
          <w:rFonts w:asciiTheme="minorHAnsi" w:eastAsiaTheme="minorHAnsi" w:hAnsiTheme="minorHAnsi" w:cstheme="minorBidi"/>
          <w:color w:val="auto"/>
          <w:sz w:val="22"/>
          <w:szCs w:val="22"/>
        </w:rPr>
        <w:t xml:space="preserve"> In addition, the World Bank only explicitly targeted the immediate and short-term outcomes related to transportation. Though the medium- and long-term outcomes would hopefully follow from the immediate and short-term outcomes</w:t>
      </w:r>
      <w:r w:rsidR="003D4D40">
        <w:rPr>
          <w:rFonts w:asciiTheme="minorHAnsi" w:eastAsiaTheme="minorHAnsi" w:hAnsiTheme="minorHAnsi" w:cstheme="minorBidi"/>
          <w:color w:val="auto"/>
          <w:sz w:val="22"/>
          <w:szCs w:val="22"/>
        </w:rPr>
        <w:t>, the World Bank did not state these as goals for the road projects that they financed.</w:t>
      </w:r>
    </w:p>
    <w:p w14:paraId="64FAEF69" w14:textId="77777777" w:rsidR="0078519A" w:rsidRPr="0021236D" w:rsidRDefault="0078519A" w:rsidP="0021236D">
      <w:pPr>
        <w:spacing w:after="0" w:line="240" w:lineRule="auto"/>
        <w:rPr>
          <w:rFonts w:ascii="Calibri" w:hAnsi="Calibri" w:cs="Calibri"/>
        </w:rPr>
      </w:pPr>
      <w:r w:rsidRPr="0021236D">
        <w:rPr>
          <w:rFonts w:ascii="Calibri" w:hAnsi="Calibri" w:cs="Calibri"/>
          <w:noProof/>
        </w:rPr>
        <w:lastRenderedPageBreak/>
        <w:drawing>
          <wp:inline distT="0" distB="0" distL="0" distR="0" wp14:anchorId="3B7A0180" wp14:editId="52984FE9">
            <wp:extent cx="5657850" cy="3038475"/>
            <wp:effectExtent l="0" t="0" r="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9BF87B5" w14:textId="77777777" w:rsidR="00DE0A38" w:rsidRPr="0021236D" w:rsidRDefault="00DE0A38" w:rsidP="0021236D">
      <w:pPr>
        <w:spacing w:after="0" w:line="240" w:lineRule="auto"/>
        <w:rPr>
          <w:rFonts w:ascii="Calibri" w:hAnsi="Calibri" w:cs="Calibri"/>
        </w:rPr>
      </w:pPr>
      <w:r w:rsidRPr="0021236D">
        <w:rPr>
          <w:rFonts w:ascii="Calibri" w:hAnsi="Calibri" w:cs="Calibri"/>
        </w:rPr>
        <w:t>There were several key assumptions underlying the program logic</w:t>
      </w:r>
      <w:r w:rsidR="00732327" w:rsidRPr="0021236D">
        <w:rPr>
          <w:rFonts w:ascii="Calibri" w:hAnsi="Calibri" w:cs="Calibri"/>
        </w:rPr>
        <w:t xml:space="preserve"> during the design of the investment</w:t>
      </w:r>
      <w:r w:rsidRPr="0021236D">
        <w:rPr>
          <w:rFonts w:ascii="Calibri" w:hAnsi="Calibri" w:cs="Calibri"/>
        </w:rPr>
        <w:t>:</w:t>
      </w:r>
    </w:p>
    <w:p w14:paraId="13C5E833" w14:textId="77777777" w:rsidR="00F22E7D" w:rsidRDefault="00220380" w:rsidP="0021236D">
      <w:pPr>
        <w:pStyle w:val="ListParagraph"/>
        <w:numPr>
          <w:ilvl w:val="0"/>
          <w:numId w:val="3"/>
        </w:numPr>
        <w:spacing w:after="0" w:line="240" w:lineRule="auto"/>
        <w:rPr>
          <w:rFonts w:ascii="Calibri" w:hAnsi="Calibri" w:cs="Calibri"/>
        </w:rPr>
      </w:pPr>
      <w:r>
        <w:rPr>
          <w:rFonts w:ascii="Calibri" w:hAnsi="Calibri" w:cs="Calibri"/>
        </w:rPr>
        <w:t>Farmers and agricultural traders would change beh</w:t>
      </w:r>
      <w:r w:rsidR="00534B35">
        <w:rPr>
          <w:rFonts w:ascii="Calibri" w:hAnsi="Calibri" w:cs="Calibri"/>
        </w:rPr>
        <w:t xml:space="preserve">avior as a result of </w:t>
      </w:r>
      <w:r w:rsidR="001C5616">
        <w:rPr>
          <w:rFonts w:ascii="Calibri" w:hAnsi="Calibri" w:cs="Calibri"/>
        </w:rPr>
        <w:t xml:space="preserve">improved </w:t>
      </w:r>
      <w:r w:rsidR="00534B35">
        <w:rPr>
          <w:rFonts w:ascii="Calibri" w:hAnsi="Calibri" w:cs="Calibri"/>
        </w:rPr>
        <w:t>road</w:t>
      </w:r>
      <w:r w:rsidR="001C5616">
        <w:rPr>
          <w:rFonts w:ascii="Calibri" w:hAnsi="Calibri" w:cs="Calibri"/>
        </w:rPr>
        <w:t xml:space="preserve"> quality and lower transport costs</w:t>
      </w:r>
    </w:p>
    <w:p w14:paraId="2A699DE8" w14:textId="77777777" w:rsidR="00DC3134" w:rsidRDefault="00DC3134" w:rsidP="0021236D">
      <w:pPr>
        <w:pStyle w:val="ListParagraph"/>
        <w:numPr>
          <w:ilvl w:val="0"/>
          <w:numId w:val="3"/>
        </w:numPr>
        <w:spacing w:after="0" w:line="240" w:lineRule="auto"/>
        <w:rPr>
          <w:rFonts w:ascii="Calibri" w:hAnsi="Calibri" w:cs="Calibri"/>
        </w:rPr>
      </w:pPr>
      <w:r>
        <w:rPr>
          <w:rFonts w:ascii="Calibri" w:hAnsi="Calibri" w:cs="Calibri"/>
        </w:rPr>
        <w:t>Agricultural input prices and crop sales prices would be affected by lower transport costs</w:t>
      </w:r>
    </w:p>
    <w:p w14:paraId="30DB9BA8" w14:textId="77777777" w:rsidR="00DE0A38" w:rsidRPr="0021236D" w:rsidRDefault="00DE0A38" w:rsidP="0021236D">
      <w:pPr>
        <w:spacing w:after="0" w:line="240" w:lineRule="auto"/>
        <w:rPr>
          <w:rFonts w:ascii="Calibri" w:hAnsi="Calibri" w:cs="Calibri"/>
        </w:rPr>
      </w:pPr>
    </w:p>
    <w:p w14:paraId="73EF55B8" w14:textId="77777777" w:rsidR="0078519A" w:rsidRPr="0021236D" w:rsidRDefault="0078519A" w:rsidP="0021236D">
      <w:pPr>
        <w:spacing w:after="0" w:line="240" w:lineRule="auto"/>
        <w:rPr>
          <w:rFonts w:ascii="Calibri" w:hAnsi="Calibri" w:cs="Calibri"/>
          <w:b/>
        </w:rPr>
      </w:pPr>
      <w:r w:rsidRPr="0021236D">
        <w:rPr>
          <w:rFonts w:ascii="Calibri" w:hAnsi="Calibri" w:cs="Calibri"/>
          <w:b/>
        </w:rPr>
        <w:t>Measuring Results</w:t>
      </w:r>
    </w:p>
    <w:p w14:paraId="1EF8C82F" w14:textId="7CB7E040" w:rsidR="00F611BC" w:rsidRDefault="00EA1E23" w:rsidP="0021236D">
      <w:pPr>
        <w:spacing w:after="0" w:line="240" w:lineRule="auto"/>
        <w:rPr>
          <w:rFonts w:ascii="Calibri" w:hAnsi="Calibri" w:cs="Calibri"/>
        </w:rPr>
      </w:pPr>
      <w:r w:rsidRPr="00E028EF">
        <w:rPr>
          <w:rFonts w:ascii="Calibri" w:hAnsi="Calibri" w:cs="Calibri"/>
        </w:rPr>
        <w:t xml:space="preserve">MCC uses multiple sources to measure results, which are generally grouped into monitoring and evaluation sources.  Monitoring data is collected during and after compact implementation and is typically generated by the program implementers; it focuses specifically on measuring program outputs and intermediate outcomes directly affected by the program.  However, monitoring data is limited in that it cannot tell us whether changes in key outcomes are attributable solely to the MCC-funded intervention.  The limitations of monitoring data is a key reason why MCC invests in independent impact evaluations, which use a counterfactual to assess what would have happened in the absence of the investment and thereby estimate the impact of the intervention alone.  Where estimating a counterfactual is not possible, MCC invests in performance evaluations, which </w:t>
      </w:r>
      <w:r>
        <w:rPr>
          <w:rFonts w:ascii="Calibri" w:hAnsi="Calibri" w:cs="Calibri"/>
        </w:rPr>
        <w:t>c</w:t>
      </w:r>
      <w:r w:rsidRPr="00E028EF">
        <w:rPr>
          <w:rFonts w:ascii="Calibri" w:hAnsi="Calibri" w:cs="Calibri"/>
        </w:rPr>
        <w:t>ompile the best available evidence and assess the likely impact of MCC investments on key outcomes.</w:t>
      </w:r>
    </w:p>
    <w:p w14:paraId="3522E94B" w14:textId="77777777" w:rsidR="00EA1E23" w:rsidRDefault="00EA1E23" w:rsidP="0021236D">
      <w:pPr>
        <w:spacing w:after="0" w:line="240" w:lineRule="auto"/>
        <w:rPr>
          <w:rFonts w:ascii="Calibri" w:hAnsi="Calibri" w:cs="Calibri"/>
          <w:b/>
        </w:rPr>
      </w:pPr>
    </w:p>
    <w:p w14:paraId="4924808D" w14:textId="77777777" w:rsidR="0078519A" w:rsidRDefault="0078519A" w:rsidP="0021236D">
      <w:pPr>
        <w:spacing w:after="0" w:line="240" w:lineRule="auto"/>
        <w:rPr>
          <w:rFonts w:ascii="Calibri" w:hAnsi="Calibri" w:cs="Calibri"/>
          <w:b/>
        </w:rPr>
      </w:pPr>
      <w:r w:rsidRPr="0021236D">
        <w:rPr>
          <w:rFonts w:ascii="Calibri" w:hAnsi="Calibri" w:cs="Calibri"/>
          <w:b/>
        </w:rPr>
        <w:t xml:space="preserve">Monitoring </w:t>
      </w:r>
      <w:r w:rsidR="00DE0A38" w:rsidRPr="0021236D">
        <w:rPr>
          <w:rFonts w:ascii="Calibri" w:hAnsi="Calibri" w:cs="Calibri"/>
          <w:b/>
        </w:rPr>
        <w:t>Results</w:t>
      </w:r>
    </w:p>
    <w:p w14:paraId="18647405" w14:textId="77777777" w:rsidR="003309E0" w:rsidRPr="0021236D" w:rsidRDefault="003309E0" w:rsidP="0021236D">
      <w:pPr>
        <w:spacing w:after="0" w:line="240" w:lineRule="auto"/>
        <w:rPr>
          <w:rFonts w:ascii="Calibri" w:hAnsi="Calibri" w:cs="Calibri"/>
        </w:rPr>
      </w:pPr>
      <w:r w:rsidRPr="002A710F">
        <w:rPr>
          <w:rFonts w:ascii="Calibri" w:hAnsi="Calibri" w:cs="Calibri"/>
        </w:rPr>
        <w:t>The following table summarizes performance on output and outcome</w:t>
      </w:r>
      <w:r w:rsidRPr="0021236D">
        <w:rPr>
          <w:rFonts w:ascii="Calibri" w:hAnsi="Calibri" w:cs="Calibri"/>
        </w:rPr>
        <w:t xml:space="preserve"> indicators specific to the evaluated </w:t>
      </w:r>
      <w:r w:rsidR="002A710F">
        <w:rPr>
          <w:rFonts w:ascii="Calibri" w:hAnsi="Calibri" w:cs="Calibri"/>
        </w:rPr>
        <w:t>program</w:t>
      </w:r>
      <w:r w:rsidR="00C03A45">
        <w:rPr>
          <w:rFonts w:ascii="Calibri" w:hAnsi="Calibri" w:cs="Calibri"/>
        </w:rPr>
        <w:t>s:</w:t>
      </w:r>
    </w:p>
    <w:p w14:paraId="60C3B2A4" w14:textId="77777777" w:rsidR="00DE0A38" w:rsidRPr="0021236D" w:rsidRDefault="00DE0A38" w:rsidP="0021236D">
      <w:pPr>
        <w:spacing w:after="0" w:line="240" w:lineRule="auto"/>
        <w:ind w:left="720"/>
        <w:rPr>
          <w:rFonts w:ascii="Calibri" w:hAnsi="Calibri" w:cs="Calibri"/>
          <w:b/>
        </w:rPr>
      </w:pPr>
    </w:p>
    <w:tbl>
      <w:tblPr>
        <w:tblStyle w:val="TableGrid"/>
        <w:tblW w:w="0" w:type="auto"/>
        <w:jc w:val="center"/>
        <w:tblLook w:val="04A0" w:firstRow="1" w:lastRow="0" w:firstColumn="1" w:lastColumn="0" w:noHBand="0" w:noVBand="1"/>
      </w:tblPr>
      <w:tblGrid>
        <w:gridCol w:w="2988"/>
        <w:gridCol w:w="1170"/>
        <w:gridCol w:w="1182"/>
        <w:gridCol w:w="1112"/>
        <w:gridCol w:w="1126"/>
        <w:gridCol w:w="1998"/>
      </w:tblGrid>
      <w:tr w:rsidR="00272AA6" w:rsidRPr="0021236D" w14:paraId="4872AFDA" w14:textId="77777777" w:rsidTr="002F7955">
        <w:trPr>
          <w:jc w:val="center"/>
        </w:trPr>
        <w:tc>
          <w:tcPr>
            <w:tcW w:w="9576" w:type="dxa"/>
            <w:gridSpan w:val="6"/>
            <w:shd w:val="clear" w:color="auto" w:fill="B8CCE4" w:themeFill="accent1" w:themeFillTint="66"/>
          </w:tcPr>
          <w:p w14:paraId="4EA91AB7" w14:textId="2DEA118D" w:rsidR="00272AA6" w:rsidRPr="0021236D" w:rsidRDefault="00272AA6" w:rsidP="00622F33">
            <w:pPr>
              <w:jc w:val="center"/>
              <w:rPr>
                <w:rFonts w:ascii="Calibri" w:hAnsi="Calibri" w:cs="Calibri"/>
                <w:b/>
                <w:bCs/>
                <w:color w:val="000000"/>
              </w:rPr>
            </w:pPr>
            <w:r>
              <w:rPr>
                <w:rFonts w:ascii="Calibri" w:hAnsi="Calibri" w:cs="Calibri"/>
                <w:b/>
                <w:bCs/>
                <w:color w:val="000000"/>
              </w:rPr>
              <w:t>MCC Rural Road Rehabilitation Project – Pilot Roads</w:t>
            </w:r>
          </w:p>
        </w:tc>
      </w:tr>
      <w:tr w:rsidR="003E6D1D" w:rsidRPr="0021236D" w14:paraId="3B3AD6CD" w14:textId="77777777" w:rsidTr="005052FB">
        <w:trPr>
          <w:jc w:val="center"/>
        </w:trPr>
        <w:tc>
          <w:tcPr>
            <w:tcW w:w="2988" w:type="dxa"/>
            <w:shd w:val="clear" w:color="auto" w:fill="B8CCE4" w:themeFill="accent1" w:themeFillTint="66"/>
            <w:vAlign w:val="center"/>
          </w:tcPr>
          <w:p w14:paraId="72D12212" w14:textId="77777777" w:rsidR="003E6D1D" w:rsidRPr="0021236D" w:rsidRDefault="003E6D1D" w:rsidP="0021236D">
            <w:pPr>
              <w:rPr>
                <w:rFonts w:ascii="Calibri" w:hAnsi="Calibri" w:cs="Calibri"/>
                <w:b/>
                <w:bCs/>
                <w:color w:val="000000"/>
              </w:rPr>
            </w:pPr>
            <w:r w:rsidRPr="0021236D">
              <w:rPr>
                <w:rFonts w:ascii="Calibri" w:hAnsi="Calibri" w:cs="Calibri"/>
                <w:b/>
                <w:bCs/>
                <w:color w:val="000000"/>
              </w:rPr>
              <w:t>Indicators</w:t>
            </w:r>
          </w:p>
        </w:tc>
        <w:tc>
          <w:tcPr>
            <w:tcW w:w="1170" w:type="dxa"/>
            <w:shd w:val="clear" w:color="auto" w:fill="B8CCE4" w:themeFill="accent1" w:themeFillTint="66"/>
            <w:vAlign w:val="center"/>
          </w:tcPr>
          <w:p w14:paraId="5C15119C" w14:textId="77777777" w:rsidR="003E6D1D" w:rsidRPr="0021236D" w:rsidRDefault="003E6D1D" w:rsidP="005052FB">
            <w:pPr>
              <w:rPr>
                <w:rFonts w:ascii="Calibri" w:hAnsi="Calibri" w:cs="Calibri"/>
                <w:b/>
                <w:bCs/>
                <w:color w:val="000000"/>
              </w:rPr>
            </w:pPr>
            <w:r w:rsidRPr="0021236D">
              <w:rPr>
                <w:rFonts w:ascii="Calibri" w:hAnsi="Calibri" w:cs="Calibri"/>
                <w:b/>
                <w:bCs/>
                <w:color w:val="000000"/>
              </w:rPr>
              <w:t>Level</w:t>
            </w:r>
          </w:p>
        </w:tc>
        <w:tc>
          <w:tcPr>
            <w:tcW w:w="1182" w:type="dxa"/>
            <w:shd w:val="clear" w:color="auto" w:fill="B8CCE4" w:themeFill="accent1" w:themeFillTint="66"/>
            <w:vAlign w:val="center"/>
          </w:tcPr>
          <w:p w14:paraId="2CCBD876" w14:textId="364BE580" w:rsidR="003E6D1D" w:rsidRPr="0021236D" w:rsidRDefault="003E6D1D" w:rsidP="005052FB">
            <w:pPr>
              <w:rPr>
                <w:rFonts w:ascii="Calibri" w:hAnsi="Calibri" w:cs="Calibri"/>
                <w:b/>
                <w:bCs/>
                <w:color w:val="000000"/>
              </w:rPr>
            </w:pPr>
            <w:r>
              <w:rPr>
                <w:rFonts w:ascii="Calibri" w:hAnsi="Calibri" w:cs="Calibri"/>
                <w:b/>
                <w:bCs/>
                <w:color w:val="000000"/>
              </w:rPr>
              <w:t>Baseline</w:t>
            </w:r>
          </w:p>
        </w:tc>
        <w:tc>
          <w:tcPr>
            <w:tcW w:w="1112" w:type="dxa"/>
            <w:shd w:val="clear" w:color="auto" w:fill="B8CCE4" w:themeFill="accent1" w:themeFillTint="66"/>
            <w:vAlign w:val="center"/>
          </w:tcPr>
          <w:p w14:paraId="2F517E4A" w14:textId="0A0995FE" w:rsidR="003E6D1D" w:rsidRPr="0021236D" w:rsidRDefault="003E6D1D" w:rsidP="005052FB">
            <w:pPr>
              <w:rPr>
                <w:rFonts w:ascii="Calibri" w:hAnsi="Calibri" w:cs="Calibri"/>
                <w:b/>
                <w:bCs/>
                <w:color w:val="000000"/>
              </w:rPr>
            </w:pPr>
            <w:r w:rsidRPr="0021236D">
              <w:rPr>
                <w:rFonts w:ascii="Calibri" w:hAnsi="Calibri" w:cs="Calibri"/>
                <w:b/>
                <w:bCs/>
                <w:color w:val="000000"/>
              </w:rPr>
              <w:t>Actual Achieved</w:t>
            </w:r>
          </w:p>
        </w:tc>
        <w:tc>
          <w:tcPr>
            <w:tcW w:w="1126" w:type="dxa"/>
            <w:shd w:val="clear" w:color="auto" w:fill="B8CCE4" w:themeFill="accent1" w:themeFillTint="66"/>
            <w:vAlign w:val="center"/>
          </w:tcPr>
          <w:p w14:paraId="6466B6F2" w14:textId="77777777" w:rsidR="003E6D1D" w:rsidRPr="0021236D" w:rsidRDefault="003E6D1D" w:rsidP="005052FB">
            <w:pPr>
              <w:rPr>
                <w:rFonts w:ascii="Calibri" w:hAnsi="Calibri" w:cs="Calibri"/>
                <w:b/>
                <w:bCs/>
                <w:color w:val="000000"/>
              </w:rPr>
            </w:pPr>
            <w:r w:rsidRPr="0021236D">
              <w:rPr>
                <w:rFonts w:ascii="Calibri" w:hAnsi="Calibri" w:cs="Calibri"/>
                <w:b/>
                <w:bCs/>
                <w:color w:val="000000"/>
              </w:rPr>
              <w:t>Target</w:t>
            </w:r>
          </w:p>
        </w:tc>
        <w:tc>
          <w:tcPr>
            <w:tcW w:w="1998" w:type="dxa"/>
            <w:shd w:val="clear" w:color="auto" w:fill="B8CCE4" w:themeFill="accent1" w:themeFillTint="66"/>
            <w:vAlign w:val="center"/>
          </w:tcPr>
          <w:p w14:paraId="5385487D" w14:textId="77777777" w:rsidR="003E6D1D" w:rsidRPr="0021236D" w:rsidRDefault="003E6D1D" w:rsidP="005052FB">
            <w:pPr>
              <w:rPr>
                <w:rFonts w:ascii="Calibri" w:hAnsi="Calibri" w:cs="Calibri"/>
                <w:b/>
                <w:bCs/>
                <w:color w:val="000000"/>
              </w:rPr>
            </w:pPr>
            <w:r w:rsidRPr="0021236D">
              <w:rPr>
                <w:rFonts w:ascii="Calibri" w:hAnsi="Calibri" w:cs="Calibri"/>
                <w:b/>
                <w:bCs/>
                <w:color w:val="000000"/>
              </w:rPr>
              <w:t>Percent Complete</w:t>
            </w:r>
          </w:p>
        </w:tc>
      </w:tr>
      <w:tr w:rsidR="003E6D1D" w:rsidRPr="0021236D" w14:paraId="7337782A" w14:textId="77777777" w:rsidTr="00CC198D">
        <w:trPr>
          <w:trHeight w:val="300"/>
          <w:jc w:val="center"/>
        </w:trPr>
        <w:tc>
          <w:tcPr>
            <w:tcW w:w="2988" w:type="dxa"/>
            <w:noWrap/>
          </w:tcPr>
          <w:p w14:paraId="5B4F45D2" w14:textId="77777777" w:rsidR="003E6D1D" w:rsidRPr="0021236D" w:rsidRDefault="003E6D1D" w:rsidP="000D380E">
            <w:pPr>
              <w:rPr>
                <w:rFonts w:ascii="Calibri" w:eastAsia="Times New Roman" w:hAnsi="Calibri" w:cs="Calibri"/>
                <w:color w:val="000000"/>
              </w:rPr>
            </w:pPr>
            <w:r w:rsidRPr="006A66E7">
              <w:rPr>
                <w:rFonts w:ascii="Calibri" w:eastAsia="Times New Roman" w:hAnsi="Calibri" w:cs="Calibri"/>
                <w:color w:val="000000"/>
              </w:rPr>
              <w:t>Average daily traffic on pilot roads</w:t>
            </w:r>
          </w:p>
        </w:tc>
        <w:tc>
          <w:tcPr>
            <w:tcW w:w="1170" w:type="dxa"/>
            <w:vAlign w:val="center"/>
          </w:tcPr>
          <w:p w14:paraId="0B3670D8" w14:textId="77777777" w:rsidR="003E6D1D" w:rsidRPr="0021236D" w:rsidRDefault="003E6D1D" w:rsidP="000D380E">
            <w:pPr>
              <w:jc w:val="center"/>
              <w:rPr>
                <w:rFonts w:ascii="Calibri" w:eastAsia="Times New Roman" w:hAnsi="Calibri" w:cs="Calibri"/>
                <w:color w:val="000000"/>
              </w:rPr>
            </w:pPr>
            <w:r>
              <w:rPr>
                <w:rFonts w:ascii="Calibri" w:eastAsia="Times New Roman" w:hAnsi="Calibri" w:cs="Calibri"/>
                <w:color w:val="000000"/>
              </w:rPr>
              <w:t>Outcome</w:t>
            </w:r>
          </w:p>
        </w:tc>
        <w:tc>
          <w:tcPr>
            <w:tcW w:w="1182" w:type="dxa"/>
            <w:tcBorders>
              <w:right w:val="single" w:sz="8" w:space="0" w:color="auto"/>
            </w:tcBorders>
            <w:vAlign w:val="center"/>
          </w:tcPr>
          <w:p w14:paraId="4FF1118E" w14:textId="3553DF9A" w:rsidR="003E6D1D" w:rsidRDefault="00CC198D" w:rsidP="000D380E">
            <w:pPr>
              <w:jc w:val="center"/>
              <w:rPr>
                <w:rFonts w:ascii="Arial" w:hAnsi="Arial" w:cs="Arial"/>
                <w:sz w:val="20"/>
                <w:szCs w:val="20"/>
              </w:rPr>
            </w:pPr>
            <w:r>
              <w:rPr>
                <w:rFonts w:ascii="Arial" w:hAnsi="Arial" w:cs="Arial"/>
                <w:sz w:val="20"/>
                <w:szCs w:val="20"/>
              </w:rPr>
              <w:t>637</w:t>
            </w:r>
          </w:p>
        </w:tc>
        <w:tc>
          <w:tcPr>
            <w:tcW w:w="111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93C2FE" w14:textId="233C00A2" w:rsidR="003E6D1D" w:rsidRPr="0021236D" w:rsidRDefault="003E6D1D" w:rsidP="000D380E">
            <w:pPr>
              <w:jc w:val="center"/>
              <w:rPr>
                <w:rFonts w:ascii="Calibri" w:eastAsia="Times New Roman" w:hAnsi="Calibri" w:cs="Calibri"/>
                <w:color w:val="000000"/>
              </w:rPr>
            </w:pPr>
            <w:r>
              <w:rPr>
                <w:rFonts w:ascii="Arial" w:hAnsi="Arial" w:cs="Arial"/>
                <w:sz w:val="20"/>
                <w:szCs w:val="20"/>
              </w:rPr>
              <w:t>735</w:t>
            </w:r>
          </w:p>
        </w:tc>
        <w:tc>
          <w:tcPr>
            <w:tcW w:w="1126" w:type="dxa"/>
            <w:tcBorders>
              <w:top w:val="single" w:sz="4" w:space="0" w:color="auto"/>
              <w:left w:val="single" w:sz="8" w:space="0" w:color="auto"/>
              <w:bottom w:val="single" w:sz="4" w:space="0" w:color="auto"/>
              <w:right w:val="single" w:sz="4" w:space="0" w:color="auto"/>
            </w:tcBorders>
            <w:shd w:val="clear" w:color="000000" w:fill="auto"/>
            <w:noWrap/>
            <w:vAlign w:val="center"/>
          </w:tcPr>
          <w:p w14:paraId="39AC70C7" w14:textId="77777777" w:rsidR="003E6D1D" w:rsidRPr="0021236D" w:rsidRDefault="003E6D1D" w:rsidP="000D380E">
            <w:pPr>
              <w:jc w:val="center"/>
              <w:rPr>
                <w:rFonts w:ascii="Calibri" w:eastAsia="Times New Roman" w:hAnsi="Calibri" w:cs="Calibri"/>
                <w:color w:val="000000"/>
              </w:rPr>
            </w:pPr>
            <w:r>
              <w:rPr>
                <w:rFonts w:ascii="Arial" w:hAnsi="Arial" w:cs="Arial"/>
                <w:sz w:val="20"/>
                <w:szCs w:val="20"/>
              </w:rPr>
              <w:t>706</w:t>
            </w:r>
          </w:p>
        </w:tc>
        <w:tc>
          <w:tcPr>
            <w:tcW w:w="1998" w:type="dxa"/>
            <w:tcBorders>
              <w:top w:val="single" w:sz="4" w:space="0" w:color="auto"/>
              <w:left w:val="nil"/>
              <w:bottom w:val="single" w:sz="4" w:space="0" w:color="auto"/>
              <w:right w:val="single" w:sz="4" w:space="0" w:color="auto"/>
            </w:tcBorders>
            <w:shd w:val="clear" w:color="auto" w:fill="auto"/>
            <w:noWrap/>
            <w:vAlign w:val="center"/>
          </w:tcPr>
          <w:p w14:paraId="276F485A" w14:textId="77777777" w:rsidR="003E6D1D" w:rsidRPr="0021236D" w:rsidRDefault="003E6D1D" w:rsidP="000D380E">
            <w:pPr>
              <w:jc w:val="center"/>
              <w:rPr>
                <w:rFonts w:ascii="Calibri" w:eastAsia="Times New Roman" w:hAnsi="Calibri" w:cs="Calibri"/>
                <w:color w:val="000000"/>
              </w:rPr>
            </w:pPr>
            <w:r>
              <w:rPr>
                <w:rFonts w:ascii="Arial" w:hAnsi="Arial" w:cs="Arial"/>
                <w:sz w:val="20"/>
                <w:szCs w:val="20"/>
              </w:rPr>
              <w:t>142%</w:t>
            </w:r>
          </w:p>
        </w:tc>
      </w:tr>
      <w:tr w:rsidR="003E6D1D" w:rsidRPr="0021236D" w14:paraId="14F7BDDE" w14:textId="77777777" w:rsidTr="00CC198D">
        <w:trPr>
          <w:trHeight w:val="300"/>
          <w:jc w:val="center"/>
        </w:trPr>
        <w:tc>
          <w:tcPr>
            <w:tcW w:w="2988" w:type="dxa"/>
            <w:noWrap/>
          </w:tcPr>
          <w:p w14:paraId="3209CA6F" w14:textId="77777777" w:rsidR="003E6D1D" w:rsidRPr="003710E8" w:rsidRDefault="003E6D1D" w:rsidP="00420394">
            <w:pPr>
              <w:rPr>
                <w:rFonts w:ascii="Calibri" w:eastAsia="Times New Roman" w:hAnsi="Calibri" w:cs="Calibri"/>
                <w:color w:val="000000"/>
              </w:rPr>
            </w:pPr>
            <w:r w:rsidRPr="00376F3F">
              <w:rPr>
                <w:rFonts w:ascii="Calibri" w:eastAsia="Times New Roman" w:hAnsi="Calibri" w:cs="Calibri"/>
                <w:color w:val="000000"/>
              </w:rPr>
              <w:t>Inte</w:t>
            </w:r>
            <w:r>
              <w:rPr>
                <w:rFonts w:ascii="Calibri" w:eastAsia="Times New Roman" w:hAnsi="Calibri" w:cs="Calibri"/>
                <w:color w:val="000000"/>
              </w:rPr>
              <w:t xml:space="preserve">rnational roughness index </w:t>
            </w:r>
            <w:r w:rsidRPr="00376F3F">
              <w:rPr>
                <w:rFonts w:ascii="Calibri" w:eastAsia="Times New Roman" w:hAnsi="Calibri" w:cs="Calibri"/>
                <w:color w:val="000000"/>
              </w:rPr>
              <w:t>for pilot roads</w:t>
            </w:r>
          </w:p>
        </w:tc>
        <w:tc>
          <w:tcPr>
            <w:tcW w:w="1170" w:type="dxa"/>
            <w:vAlign w:val="center"/>
          </w:tcPr>
          <w:p w14:paraId="3CA7E2CF" w14:textId="77777777" w:rsidR="003E6D1D" w:rsidRDefault="003E6D1D" w:rsidP="00420394">
            <w:pPr>
              <w:jc w:val="center"/>
              <w:rPr>
                <w:rFonts w:ascii="Calibri" w:eastAsia="Times New Roman" w:hAnsi="Calibri" w:cs="Calibri"/>
                <w:color w:val="000000"/>
              </w:rPr>
            </w:pPr>
            <w:r>
              <w:rPr>
                <w:rFonts w:ascii="Calibri" w:eastAsia="Times New Roman" w:hAnsi="Calibri" w:cs="Calibri"/>
                <w:color w:val="000000"/>
              </w:rPr>
              <w:t>Outcome</w:t>
            </w:r>
          </w:p>
        </w:tc>
        <w:tc>
          <w:tcPr>
            <w:tcW w:w="1182" w:type="dxa"/>
            <w:tcBorders>
              <w:right w:val="single" w:sz="8" w:space="0" w:color="auto"/>
            </w:tcBorders>
            <w:shd w:val="clear" w:color="000000" w:fill="auto"/>
            <w:vAlign w:val="center"/>
          </w:tcPr>
          <w:p w14:paraId="74C956EE" w14:textId="7D2952A1" w:rsidR="003E6D1D" w:rsidRDefault="00CC198D" w:rsidP="00420394">
            <w:pPr>
              <w:jc w:val="center"/>
              <w:rPr>
                <w:rFonts w:ascii="Arial" w:hAnsi="Arial" w:cs="Arial"/>
                <w:sz w:val="20"/>
                <w:szCs w:val="20"/>
              </w:rPr>
            </w:pPr>
            <w:r>
              <w:rPr>
                <w:rFonts w:ascii="Arial" w:hAnsi="Arial" w:cs="Arial"/>
                <w:sz w:val="20"/>
                <w:szCs w:val="20"/>
              </w:rPr>
              <w:t>14.16</w:t>
            </w:r>
          </w:p>
        </w:tc>
        <w:tc>
          <w:tcPr>
            <w:tcW w:w="1112" w:type="dxa"/>
            <w:tcBorders>
              <w:top w:val="single" w:sz="4" w:space="0" w:color="auto"/>
              <w:left w:val="single" w:sz="8" w:space="0" w:color="auto"/>
              <w:bottom w:val="single" w:sz="4" w:space="0" w:color="auto"/>
              <w:right w:val="single" w:sz="4" w:space="0" w:color="auto"/>
            </w:tcBorders>
            <w:shd w:val="clear" w:color="000000" w:fill="auto"/>
            <w:noWrap/>
            <w:vAlign w:val="center"/>
          </w:tcPr>
          <w:p w14:paraId="0FB4FAEA" w14:textId="6E3B5218" w:rsidR="003E6D1D" w:rsidRDefault="003E6D1D" w:rsidP="00420394">
            <w:pPr>
              <w:jc w:val="center"/>
              <w:rPr>
                <w:rFonts w:ascii="Arial" w:hAnsi="Arial" w:cs="Arial"/>
                <w:sz w:val="20"/>
                <w:szCs w:val="20"/>
              </w:rPr>
            </w:pPr>
            <w:r>
              <w:rPr>
                <w:rFonts w:ascii="Arial" w:hAnsi="Arial" w:cs="Arial"/>
                <w:sz w:val="20"/>
                <w:szCs w:val="20"/>
              </w:rPr>
              <w:t>3.47</w:t>
            </w:r>
          </w:p>
        </w:tc>
        <w:tc>
          <w:tcPr>
            <w:tcW w:w="1126" w:type="dxa"/>
            <w:tcBorders>
              <w:top w:val="single" w:sz="4" w:space="0" w:color="auto"/>
              <w:left w:val="single" w:sz="8" w:space="0" w:color="auto"/>
              <w:bottom w:val="single" w:sz="4" w:space="0" w:color="auto"/>
              <w:right w:val="single" w:sz="4" w:space="0" w:color="auto"/>
            </w:tcBorders>
            <w:shd w:val="clear" w:color="000000" w:fill="auto"/>
            <w:noWrap/>
            <w:vAlign w:val="center"/>
          </w:tcPr>
          <w:p w14:paraId="2D0AA313" w14:textId="77777777" w:rsidR="003E6D1D" w:rsidRDefault="003E6D1D" w:rsidP="00420394">
            <w:pPr>
              <w:jc w:val="center"/>
              <w:rPr>
                <w:rFonts w:ascii="Arial" w:hAnsi="Arial" w:cs="Arial"/>
                <w:sz w:val="20"/>
                <w:szCs w:val="20"/>
              </w:rPr>
            </w:pPr>
            <w:r>
              <w:rPr>
                <w:rFonts w:ascii="Arial" w:hAnsi="Arial" w:cs="Arial"/>
                <w:sz w:val="20"/>
                <w:szCs w:val="20"/>
              </w:rPr>
              <w:t>4</w:t>
            </w:r>
          </w:p>
        </w:tc>
        <w:tc>
          <w:tcPr>
            <w:tcW w:w="1998" w:type="dxa"/>
            <w:tcBorders>
              <w:top w:val="single" w:sz="4" w:space="0" w:color="auto"/>
              <w:left w:val="nil"/>
              <w:bottom w:val="single" w:sz="4" w:space="0" w:color="auto"/>
              <w:right w:val="single" w:sz="4" w:space="0" w:color="auto"/>
            </w:tcBorders>
            <w:shd w:val="clear" w:color="auto" w:fill="auto"/>
            <w:noWrap/>
            <w:vAlign w:val="center"/>
          </w:tcPr>
          <w:p w14:paraId="0C1ECEFF" w14:textId="77777777" w:rsidR="003E6D1D" w:rsidRDefault="003E6D1D" w:rsidP="00420394">
            <w:pPr>
              <w:jc w:val="center"/>
              <w:rPr>
                <w:rFonts w:ascii="Arial" w:hAnsi="Arial" w:cs="Arial"/>
                <w:sz w:val="20"/>
                <w:szCs w:val="20"/>
              </w:rPr>
            </w:pPr>
            <w:r>
              <w:rPr>
                <w:rFonts w:ascii="Arial" w:hAnsi="Arial" w:cs="Arial"/>
                <w:sz w:val="20"/>
                <w:szCs w:val="20"/>
              </w:rPr>
              <w:t>105%</w:t>
            </w:r>
          </w:p>
        </w:tc>
      </w:tr>
      <w:tr w:rsidR="003E6D1D" w:rsidRPr="0021236D" w14:paraId="060B26BA" w14:textId="77777777" w:rsidTr="00CC198D">
        <w:trPr>
          <w:trHeight w:val="300"/>
          <w:jc w:val="center"/>
        </w:trPr>
        <w:tc>
          <w:tcPr>
            <w:tcW w:w="2988" w:type="dxa"/>
            <w:noWrap/>
          </w:tcPr>
          <w:p w14:paraId="7F3BAE15" w14:textId="77777777" w:rsidR="003E6D1D" w:rsidRPr="0021236D" w:rsidRDefault="003E6D1D" w:rsidP="00420394">
            <w:pPr>
              <w:rPr>
                <w:rFonts w:ascii="Calibri" w:eastAsia="Times New Roman" w:hAnsi="Calibri" w:cs="Calibri"/>
                <w:color w:val="000000"/>
              </w:rPr>
            </w:pPr>
            <w:r w:rsidRPr="003710E8">
              <w:rPr>
                <w:rFonts w:ascii="Calibri" w:eastAsia="Times New Roman" w:hAnsi="Calibri" w:cs="Calibri"/>
                <w:color w:val="000000"/>
              </w:rPr>
              <w:t xml:space="preserve">Government budgetary allocations for rehabilitation of </w:t>
            </w:r>
            <w:r w:rsidRPr="003710E8">
              <w:rPr>
                <w:rFonts w:ascii="Calibri" w:eastAsia="Times New Roman" w:hAnsi="Calibri" w:cs="Calibri"/>
                <w:color w:val="000000"/>
              </w:rPr>
              <w:lastRenderedPageBreak/>
              <w:t>road sections in the road lifeline network</w:t>
            </w:r>
            <w:r>
              <w:rPr>
                <w:rStyle w:val="FootnoteReference"/>
                <w:rFonts w:ascii="Calibri" w:eastAsia="Times New Roman" w:hAnsi="Calibri" w:cs="Calibri"/>
                <w:color w:val="000000"/>
              </w:rPr>
              <w:footnoteReference w:id="1"/>
            </w:r>
          </w:p>
        </w:tc>
        <w:tc>
          <w:tcPr>
            <w:tcW w:w="1170" w:type="dxa"/>
            <w:vAlign w:val="center"/>
          </w:tcPr>
          <w:p w14:paraId="2F9263ED" w14:textId="77777777" w:rsidR="003E6D1D" w:rsidRPr="0021236D" w:rsidRDefault="003E6D1D" w:rsidP="00420394">
            <w:pPr>
              <w:jc w:val="center"/>
              <w:rPr>
                <w:rFonts w:ascii="Calibri" w:eastAsia="Times New Roman" w:hAnsi="Calibri" w:cs="Calibri"/>
                <w:color w:val="000000"/>
              </w:rPr>
            </w:pPr>
            <w:r>
              <w:rPr>
                <w:rFonts w:ascii="Calibri" w:eastAsia="Times New Roman" w:hAnsi="Calibri" w:cs="Calibri"/>
                <w:color w:val="000000"/>
              </w:rPr>
              <w:lastRenderedPageBreak/>
              <w:t>Outcome</w:t>
            </w:r>
          </w:p>
        </w:tc>
        <w:tc>
          <w:tcPr>
            <w:tcW w:w="1182" w:type="dxa"/>
            <w:tcBorders>
              <w:right w:val="single" w:sz="8" w:space="0" w:color="auto"/>
            </w:tcBorders>
            <w:vAlign w:val="center"/>
          </w:tcPr>
          <w:p w14:paraId="3410259C" w14:textId="6DB5ED2F" w:rsidR="003E6D1D" w:rsidRDefault="00CC198D" w:rsidP="00420394">
            <w:pPr>
              <w:jc w:val="center"/>
              <w:rPr>
                <w:rFonts w:ascii="Arial" w:hAnsi="Arial" w:cs="Arial"/>
                <w:sz w:val="20"/>
                <w:szCs w:val="20"/>
              </w:rPr>
            </w:pPr>
            <w:r>
              <w:rPr>
                <w:rFonts w:ascii="Arial" w:hAnsi="Arial" w:cs="Arial"/>
                <w:sz w:val="20"/>
                <w:szCs w:val="20"/>
              </w:rPr>
              <w:t>N/A</w:t>
            </w:r>
          </w:p>
        </w:tc>
        <w:tc>
          <w:tcPr>
            <w:tcW w:w="111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E103E29" w14:textId="6B18DE2C" w:rsidR="003E6D1D" w:rsidRPr="0021236D" w:rsidRDefault="003E6D1D" w:rsidP="00420394">
            <w:pPr>
              <w:jc w:val="center"/>
              <w:rPr>
                <w:rFonts w:ascii="Calibri" w:eastAsia="Times New Roman" w:hAnsi="Calibri" w:cs="Calibri"/>
                <w:color w:val="000000"/>
              </w:rPr>
            </w:pPr>
            <w:r>
              <w:rPr>
                <w:rFonts w:ascii="Arial" w:hAnsi="Arial" w:cs="Arial"/>
                <w:sz w:val="20"/>
                <w:szCs w:val="20"/>
              </w:rPr>
              <w:t>7,227,000</w:t>
            </w:r>
          </w:p>
        </w:tc>
        <w:tc>
          <w:tcPr>
            <w:tcW w:w="1126" w:type="dxa"/>
            <w:tcBorders>
              <w:top w:val="single" w:sz="4" w:space="0" w:color="auto"/>
              <w:left w:val="single" w:sz="8" w:space="0" w:color="auto"/>
              <w:bottom w:val="single" w:sz="4" w:space="0" w:color="auto"/>
              <w:right w:val="single" w:sz="4" w:space="0" w:color="auto"/>
            </w:tcBorders>
            <w:shd w:val="clear" w:color="000000" w:fill="auto"/>
            <w:noWrap/>
            <w:vAlign w:val="center"/>
          </w:tcPr>
          <w:p w14:paraId="702D742C" w14:textId="77777777" w:rsidR="003E6D1D" w:rsidRPr="0021236D" w:rsidRDefault="003E6D1D" w:rsidP="00420394">
            <w:pPr>
              <w:jc w:val="center"/>
              <w:rPr>
                <w:rFonts w:ascii="Calibri" w:eastAsia="Times New Roman" w:hAnsi="Calibri" w:cs="Calibri"/>
                <w:color w:val="000000"/>
              </w:rPr>
            </w:pPr>
            <w:r>
              <w:rPr>
                <w:rFonts w:ascii="Arial" w:hAnsi="Arial" w:cs="Arial"/>
                <w:sz w:val="20"/>
                <w:szCs w:val="20"/>
              </w:rPr>
              <w:t>3,310,000</w:t>
            </w:r>
          </w:p>
        </w:tc>
        <w:tc>
          <w:tcPr>
            <w:tcW w:w="1998" w:type="dxa"/>
            <w:tcBorders>
              <w:top w:val="single" w:sz="4" w:space="0" w:color="auto"/>
              <w:left w:val="nil"/>
              <w:bottom w:val="single" w:sz="4" w:space="0" w:color="auto"/>
              <w:right w:val="single" w:sz="4" w:space="0" w:color="auto"/>
            </w:tcBorders>
            <w:shd w:val="clear" w:color="auto" w:fill="auto"/>
            <w:noWrap/>
            <w:vAlign w:val="center"/>
          </w:tcPr>
          <w:p w14:paraId="1ACEAE8D" w14:textId="77777777" w:rsidR="003E6D1D" w:rsidRPr="0021236D" w:rsidRDefault="003E6D1D" w:rsidP="00420394">
            <w:pPr>
              <w:jc w:val="center"/>
              <w:rPr>
                <w:rFonts w:ascii="Calibri" w:eastAsia="Times New Roman" w:hAnsi="Calibri" w:cs="Calibri"/>
                <w:color w:val="000000"/>
              </w:rPr>
            </w:pPr>
            <w:r>
              <w:rPr>
                <w:rFonts w:ascii="Arial" w:hAnsi="Arial" w:cs="Arial"/>
                <w:sz w:val="20"/>
                <w:szCs w:val="20"/>
              </w:rPr>
              <w:t>218%</w:t>
            </w:r>
          </w:p>
        </w:tc>
      </w:tr>
      <w:tr w:rsidR="003E6D1D" w:rsidRPr="0021236D" w14:paraId="42348DB2" w14:textId="77777777" w:rsidTr="00CC198D">
        <w:trPr>
          <w:trHeight w:val="300"/>
          <w:jc w:val="center"/>
        </w:trPr>
        <w:tc>
          <w:tcPr>
            <w:tcW w:w="2988" w:type="dxa"/>
            <w:noWrap/>
          </w:tcPr>
          <w:p w14:paraId="74D95654" w14:textId="77777777" w:rsidR="003E6D1D" w:rsidRPr="0021236D" w:rsidRDefault="003E6D1D" w:rsidP="00420394">
            <w:pPr>
              <w:rPr>
                <w:rFonts w:ascii="Calibri" w:eastAsia="Times New Roman" w:hAnsi="Calibri" w:cs="Calibri"/>
                <w:color w:val="000000"/>
              </w:rPr>
            </w:pPr>
            <w:r w:rsidRPr="00B937D4">
              <w:rPr>
                <w:rFonts w:ascii="Calibri" w:eastAsia="Times New Roman" w:hAnsi="Calibri" w:cs="Calibri"/>
                <w:color w:val="000000"/>
              </w:rPr>
              <w:lastRenderedPageBreak/>
              <w:t>Government budgetary allocations for routine maintenance of the entire road network</w:t>
            </w:r>
          </w:p>
        </w:tc>
        <w:tc>
          <w:tcPr>
            <w:tcW w:w="1170" w:type="dxa"/>
            <w:vAlign w:val="center"/>
          </w:tcPr>
          <w:p w14:paraId="50D1CD86" w14:textId="77777777" w:rsidR="003E6D1D" w:rsidRPr="0021236D" w:rsidRDefault="003E6D1D" w:rsidP="00420394">
            <w:pPr>
              <w:jc w:val="center"/>
              <w:rPr>
                <w:rFonts w:ascii="Calibri" w:eastAsia="Times New Roman" w:hAnsi="Calibri" w:cs="Calibri"/>
                <w:color w:val="000000"/>
              </w:rPr>
            </w:pPr>
            <w:r>
              <w:rPr>
                <w:rFonts w:ascii="Calibri" w:eastAsia="Times New Roman" w:hAnsi="Calibri" w:cs="Calibri"/>
                <w:color w:val="000000"/>
              </w:rPr>
              <w:t>Outcome</w:t>
            </w:r>
          </w:p>
        </w:tc>
        <w:tc>
          <w:tcPr>
            <w:tcW w:w="1182" w:type="dxa"/>
            <w:tcBorders>
              <w:right w:val="single" w:sz="8" w:space="0" w:color="auto"/>
            </w:tcBorders>
            <w:vAlign w:val="center"/>
          </w:tcPr>
          <w:p w14:paraId="401A044B" w14:textId="775926E5" w:rsidR="003E6D1D" w:rsidRPr="00CC198D" w:rsidRDefault="00CC198D" w:rsidP="00420394">
            <w:pPr>
              <w:jc w:val="center"/>
              <w:rPr>
                <w:rFonts w:ascii="Arial" w:hAnsi="Arial" w:cs="Arial"/>
                <w:sz w:val="20"/>
                <w:szCs w:val="20"/>
              </w:rPr>
            </w:pPr>
            <w:r w:rsidRPr="00CC198D">
              <w:rPr>
                <w:rFonts w:ascii="Arial" w:hAnsi="Arial" w:cs="Arial"/>
                <w:sz w:val="20"/>
                <w:szCs w:val="20"/>
              </w:rPr>
              <w:t>N/A</w:t>
            </w:r>
          </w:p>
        </w:tc>
        <w:tc>
          <w:tcPr>
            <w:tcW w:w="111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BC67502" w14:textId="6A7FB39A" w:rsidR="003E6D1D" w:rsidRPr="0021236D" w:rsidRDefault="003E6D1D" w:rsidP="00420394">
            <w:pPr>
              <w:jc w:val="center"/>
              <w:rPr>
                <w:rFonts w:ascii="Calibri" w:eastAsia="Times New Roman" w:hAnsi="Calibri" w:cs="Calibri"/>
                <w:color w:val="000000"/>
              </w:rPr>
            </w:pPr>
            <w:r w:rsidRPr="009025F3">
              <w:rPr>
                <w:rFonts w:ascii="Calibri" w:eastAsia="Times New Roman" w:hAnsi="Calibri" w:cs="Calibri"/>
                <w:color w:val="000000"/>
              </w:rPr>
              <w:t>6,656,000</w:t>
            </w:r>
          </w:p>
        </w:tc>
        <w:tc>
          <w:tcPr>
            <w:tcW w:w="1126" w:type="dxa"/>
            <w:tcBorders>
              <w:top w:val="single" w:sz="4" w:space="0" w:color="auto"/>
              <w:left w:val="single" w:sz="8" w:space="0" w:color="auto"/>
              <w:bottom w:val="single" w:sz="4" w:space="0" w:color="auto"/>
              <w:right w:val="single" w:sz="4" w:space="0" w:color="auto"/>
            </w:tcBorders>
            <w:shd w:val="clear" w:color="000000" w:fill="auto"/>
            <w:noWrap/>
            <w:vAlign w:val="center"/>
          </w:tcPr>
          <w:p w14:paraId="278393B6" w14:textId="77777777" w:rsidR="003E6D1D" w:rsidRPr="0021236D" w:rsidRDefault="003E6D1D" w:rsidP="00420394">
            <w:pPr>
              <w:jc w:val="center"/>
              <w:rPr>
                <w:rFonts w:ascii="Calibri" w:eastAsia="Times New Roman" w:hAnsi="Calibri" w:cs="Calibri"/>
                <w:color w:val="000000"/>
              </w:rPr>
            </w:pPr>
            <w:r w:rsidRPr="009025F3">
              <w:rPr>
                <w:rFonts w:ascii="Calibri" w:eastAsia="Times New Roman" w:hAnsi="Calibri" w:cs="Calibri"/>
                <w:color w:val="000000"/>
              </w:rPr>
              <w:t>6,290,000</w:t>
            </w:r>
          </w:p>
        </w:tc>
        <w:tc>
          <w:tcPr>
            <w:tcW w:w="1998" w:type="dxa"/>
            <w:tcBorders>
              <w:top w:val="single" w:sz="4" w:space="0" w:color="auto"/>
              <w:left w:val="nil"/>
              <w:bottom w:val="single" w:sz="4" w:space="0" w:color="auto"/>
              <w:right w:val="single" w:sz="4" w:space="0" w:color="auto"/>
            </w:tcBorders>
            <w:shd w:val="clear" w:color="auto" w:fill="auto"/>
            <w:noWrap/>
            <w:vAlign w:val="center"/>
          </w:tcPr>
          <w:p w14:paraId="7DC6799E" w14:textId="77777777" w:rsidR="003E6D1D" w:rsidRPr="0021236D" w:rsidRDefault="003E6D1D" w:rsidP="00420394">
            <w:pPr>
              <w:jc w:val="center"/>
              <w:rPr>
                <w:rFonts w:ascii="Calibri" w:eastAsia="Times New Roman" w:hAnsi="Calibri" w:cs="Calibri"/>
                <w:color w:val="000000"/>
              </w:rPr>
            </w:pPr>
            <w:r w:rsidRPr="009025F3">
              <w:rPr>
                <w:rFonts w:ascii="Calibri" w:eastAsia="Times New Roman" w:hAnsi="Calibri" w:cs="Calibri"/>
                <w:color w:val="000000"/>
              </w:rPr>
              <w:t>106%</w:t>
            </w:r>
          </w:p>
        </w:tc>
      </w:tr>
      <w:tr w:rsidR="003E6D1D" w:rsidRPr="0021236D" w14:paraId="7C113E98" w14:textId="77777777" w:rsidTr="00CC198D">
        <w:trPr>
          <w:trHeight w:val="300"/>
          <w:jc w:val="center"/>
        </w:trPr>
        <w:tc>
          <w:tcPr>
            <w:tcW w:w="2988" w:type="dxa"/>
            <w:noWrap/>
          </w:tcPr>
          <w:p w14:paraId="752CC3B2" w14:textId="77777777" w:rsidR="003E6D1D" w:rsidRPr="0021236D" w:rsidRDefault="003E6D1D" w:rsidP="00420394">
            <w:pPr>
              <w:rPr>
                <w:rFonts w:ascii="Calibri" w:eastAsia="Times New Roman" w:hAnsi="Calibri" w:cs="Calibri"/>
                <w:color w:val="000000"/>
              </w:rPr>
            </w:pPr>
            <w:r>
              <w:rPr>
                <w:rFonts w:ascii="Calibri" w:eastAsia="Times New Roman" w:hAnsi="Calibri" w:cs="Calibri"/>
                <w:color w:val="000000"/>
              </w:rPr>
              <w:t>Pilot roads rehabilitated</w:t>
            </w:r>
          </w:p>
        </w:tc>
        <w:tc>
          <w:tcPr>
            <w:tcW w:w="1170" w:type="dxa"/>
            <w:vAlign w:val="center"/>
          </w:tcPr>
          <w:p w14:paraId="515C824B" w14:textId="77777777" w:rsidR="003E6D1D" w:rsidRPr="0021236D" w:rsidRDefault="003E6D1D" w:rsidP="00420394">
            <w:pPr>
              <w:jc w:val="center"/>
              <w:rPr>
                <w:rFonts w:ascii="Calibri" w:eastAsia="Times New Roman" w:hAnsi="Calibri" w:cs="Calibri"/>
                <w:color w:val="000000"/>
              </w:rPr>
            </w:pPr>
            <w:r>
              <w:rPr>
                <w:rFonts w:ascii="Calibri" w:eastAsia="Times New Roman" w:hAnsi="Calibri" w:cs="Calibri"/>
                <w:color w:val="000000"/>
              </w:rPr>
              <w:t>Output</w:t>
            </w:r>
          </w:p>
        </w:tc>
        <w:tc>
          <w:tcPr>
            <w:tcW w:w="1182" w:type="dxa"/>
            <w:vAlign w:val="center"/>
          </w:tcPr>
          <w:p w14:paraId="0DD4C310" w14:textId="32362517" w:rsidR="003E6D1D" w:rsidRPr="00CC198D" w:rsidRDefault="00CC198D" w:rsidP="00420394">
            <w:pPr>
              <w:jc w:val="center"/>
              <w:rPr>
                <w:rFonts w:ascii="Arial" w:hAnsi="Arial" w:cs="Arial"/>
                <w:sz w:val="20"/>
                <w:szCs w:val="20"/>
              </w:rPr>
            </w:pPr>
            <w:r w:rsidRPr="00CC198D">
              <w:rPr>
                <w:rFonts w:ascii="Arial" w:hAnsi="Arial" w:cs="Arial"/>
                <w:sz w:val="20"/>
                <w:szCs w:val="20"/>
              </w:rPr>
              <w:t>0</w:t>
            </w:r>
          </w:p>
        </w:tc>
        <w:tc>
          <w:tcPr>
            <w:tcW w:w="1112" w:type="dxa"/>
            <w:noWrap/>
            <w:vAlign w:val="center"/>
          </w:tcPr>
          <w:p w14:paraId="64FF502F" w14:textId="412399EC" w:rsidR="003E6D1D" w:rsidRPr="0021236D" w:rsidRDefault="003E6D1D" w:rsidP="00420394">
            <w:pPr>
              <w:jc w:val="center"/>
              <w:rPr>
                <w:rFonts w:ascii="Calibri" w:eastAsia="Times New Roman" w:hAnsi="Calibri" w:cs="Calibri"/>
                <w:color w:val="000000"/>
              </w:rPr>
            </w:pPr>
            <w:r>
              <w:rPr>
                <w:rFonts w:ascii="Calibri" w:eastAsia="Times New Roman" w:hAnsi="Calibri" w:cs="Calibri"/>
                <w:color w:val="000000"/>
              </w:rPr>
              <w:t>24.4</w:t>
            </w:r>
          </w:p>
        </w:tc>
        <w:tc>
          <w:tcPr>
            <w:tcW w:w="1126" w:type="dxa"/>
            <w:noWrap/>
            <w:vAlign w:val="center"/>
          </w:tcPr>
          <w:p w14:paraId="31B40C38" w14:textId="77777777" w:rsidR="003E6D1D" w:rsidRPr="0021236D" w:rsidRDefault="003E6D1D" w:rsidP="00420394">
            <w:pPr>
              <w:jc w:val="center"/>
              <w:rPr>
                <w:rFonts w:ascii="Calibri" w:eastAsia="Times New Roman" w:hAnsi="Calibri" w:cs="Calibri"/>
                <w:color w:val="000000"/>
              </w:rPr>
            </w:pPr>
            <w:r>
              <w:rPr>
                <w:rFonts w:ascii="Calibri" w:eastAsia="Times New Roman" w:hAnsi="Calibri" w:cs="Calibri"/>
                <w:color w:val="000000"/>
              </w:rPr>
              <w:t>24.4</w:t>
            </w:r>
          </w:p>
        </w:tc>
        <w:tc>
          <w:tcPr>
            <w:tcW w:w="1998" w:type="dxa"/>
            <w:noWrap/>
            <w:vAlign w:val="center"/>
          </w:tcPr>
          <w:p w14:paraId="63457E75" w14:textId="77777777" w:rsidR="003E6D1D" w:rsidRPr="0021236D" w:rsidRDefault="003E6D1D" w:rsidP="00420394">
            <w:pPr>
              <w:jc w:val="center"/>
              <w:rPr>
                <w:rFonts w:ascii="Calibri" w:eastAsia="Times New Roman" w:hAnsi="Calibri" w:cs="Calibri"/>
                <w:color w:val="000000"/>
              </w:rPr>
            </w:pPr>
            <w:r>
              <w:rPr>
                <w:rFonts w:ascii="Calibri" w:eastAsia="Times New Roman" w:hAnsi="Calibri" w:cs="Calibri"/>
                <w:color w:val="000000"/>
              </w:rPr>
              <w:t>100%</w:t>
            </w:r>
          </w:p>
        </w:tc>
      </w:tr>
    </w:tbl>
    <w:p w14:paraId="3C9B433B" w14:textId="295311B0" w:rsidR="006C416B" w:rsidRDefault="00917964" w:rsidP="0021236D">
      <w:pPr>
        <w:spacing w:after="0" w:line="240" w:lineRule="auto"/>
        <w:rPr>
          <w:rFonts w:ascii="Calibri" w:hAnsi="Calibri" w:cs="Calibri"/>
          <w:sz w:val="20"/>
          <w:szCs w:val="20"/>
        </w:rPr>
      </w:pPr>
      <w:r w:rsidRPr="005B6D00">
        <w:rPr>
          <w:rFonts w:ascii="Calibri" w:hAnsi="Calibri" w:cs="Calibri"/>
          <w:sz w:val="20"/>
          <w:szCs w:val="20"/>
        </w:rPr>
        <w:t>Source:</w:t>
      </w:r>
      <w:r w:rsidR="00393A36" w:rsidRPr="005B6D00">
        <w:rPr>
          <w:rFonts w:ascii="Calibri" w:hAnsi="Calibri" w:cs="Calibri"/>
          <w:sz w:val="20"/>
          <w:szCs w:val="20"/>
        </w:rPr>
        <w:t xml:space="preserve"> </w:t>
      </w:r>
      <w:r w:rsidR="00EA1E23" w:rsidRPr="005B6D00">
        <w:rPr>
          <w:rFonts w:ascii="Calibri" w:hAnsi="Calibri" w:cs="Calibri"/>
          <w:sz w:val="20"/>
          <w:szCs w:val="20"/>
        </w:rPr>
        <w:t xml:space="preserve">Final </w:t>
      </w:r>
      <w:r w:rsidR="005B6D00" w:rsidRPr="005B6D00">
        <w:rPr>
          <w:rFonts w:ascii="Calibri" w:hAnsi="Calibri" w:cs="Calibri"/>
          <w:sz w:val="20"/>
          <w:szCs w:val="20"/>
        </w:rPr>
        <w:t>Indicator</w:t>
      </w:r>
      <w:r w:rsidR="005B6D00">
        <w:rPr>
          <w:rFonts w:ascii="Calibri" w:hAnsi="Calibri" w:cs="Calibri"/>
          <w:sz w:val="20"/>
          <w:szCs w:val="20"/>
        </w:rPr>
        <w:t xml:space="preserve"> Tracking Table, December 2014.</w:t>
      </w:r>
    </w:p>
    <w:p w14:paraId="25A79570" w14:textId="77777777" w:rsidR="00917964" w:rsidRDefault="00917964" w:rsidP="0021236D">
      <w:pPr>
        <w:spacing w:after="0" w:line="240" w:lineRule="auto"/>
        <w:rPr>
          <w:rFonts w:ascii="Calibri" w:hAnsi="Calibri" w:cs="Calibri"/>
          <w:b/>
        </w:rPr>
      </w:pPr>
    </w:p>
    <w:tbl>
      <w:tblPr>
        <w:tblStyle w:val="TableGrid"/>
        <w:tblW w:w="0" w:type="auto"/>
        <w:jc w:val="center"/>
        <w:tblLook w:val="04A0" w:firstRow="1" w:lastRow="0" w:firstColumn="1" w:lastColumn="0" w:noHBand="0" w:noVBand="1"/>
      </w:tblPr>
      <w:tblGrid>
        <w:gridCol w:w="2953"/>
        <w:gridCol w:w="1295"/>
        <w:gridCol w:w="1080"/>
        <w:gridCol w:w="1159"/>
        <w:gridCol w:w="1114"/>
        <w:gridCol w:w="1975"/>
      </w:tblGrid>
      <w:tr w:rsidR="00C800FF" w:rsidRPr="0021236D" w14:paraId="5E1BB169" w14:textId="77777777" w:rsidTr="00B370E5">
        <w:trPr>
          <w:jc w:val="center"/>
        </w:trPr>
        <w:tc>
          <w:tcPr>
            <w:tcW w:w="9576" w:type="dxa"/>
            <w:gridSpan w:val="6"/>
            <w:shd w:val="clear" w:color="auto" w:fill="B8CCE4" w:themeFill="accent1" w:themeFillTint="66"/>
          </w:tcPr>
          <w:p w14:paraId="2B6F0B92" w14:textId="157E4DB2" w:rsidR="00C800FF" w:rsidRPr="0021236D" w:rsidRDefault="00C800FF" w:rsidP="003C31E5">
            <w:pPr>
              <w:jc w:val="center"/>
              <w:rPr>
                <w:rFonts w:ascii="Calibri" w:hAnsi="Calibri" w:cs="Calibri"/>
                <w:b/>
                <w:bCs/>
                <w:color w:val="000000"/>
              </w:rPr>
            </w:pPr>
            <w:r>
              <w:rPr>
                <w:rFonts w:ascii="Calibri" w:hAnsi="Calibri" w:cs="Calibri"/>
                <w:b/>
                <w:bCs/>
                <w:color w:val="000000"/>
              </w:rPr>
              <w:t xml:space="preserve">World Bank </w:t>
            </w:r>
            <w:r w:rsidRPr="00C9035F">
              <w:rPr>
                <w:rFonts w:ascii="Calibri" w:hAnsi="Calibri" w:cs="Calibri"/>
                <w:b/>
                <w:bCs/>
                <w:color w:val="000000"/>
              </w:rPr>
              <w:t>Lifeline Road Improvement Project</w:t>
            </w:r>
          </w:p>
        </w:tc>
      </w:tr>
      <w:tr w:rsidR="00C800FF" w:rsidRPr="0021236D" w14:paraId="6D4B2DD6" w14:textId="77777777" w:rsidTr="00C800FF">
        <w:trPr>
          <w:jc w:val="center"/>
        </w:trPr>
        <w:tc>
          <w:tcPr>
            <w:tcW w:w="2953" w:type="dxa"/>
            <w:shd w:val="clear" w:color="auto" w:fill="B8CCE4" w:themeFill="accent1" w:themeFillTint="66"/>
            <w:vAlign w:val="center"/>
          </w:tcPr>
          <w:p w14:paraId="6771ED06" w14:textId="77777777" w:rsidR="00C800FF" w:rsidRPr="0021236D" w:rsidRDefault="00C800FF" w:rsidP="00551C46">
            <w:pPr>
              <w:rPr>
                <w:rFonts w:ascii="Calibri" w:hAnsi="Calibri" w:cs="Calibri"/>
                <w:b/>
                <w:bCs/>
                <w:color w:val="000000"/>
              </w:rPr>
            </w:pPr>
            <w:r w:rsidRPr="0021236D">
              <w:rPr>
                <w:rFonts w:ascii="Calibri" w:hAnsi="Calibri" w:cs="Calibri"/>
                <w:b/>
                <w:bCs/>
                <w:color w:val="000000"/>
              </w:rPr>
              <w:t>Indicators</w:t>
            </w:r>
          </w:p>
        </w:tc>
        <w:tc>
          <w:tcPr>
            <w:tcW w:w="1295" w:type="dxa"/>
            <w:shd w:val="clear" w:color="auto" w:fill="B8CCE4" w:themeFill="accent1" w:themeFillTint="66"/>
            <w:vAlign w:val="center"/>
          </w:tcPr>
          <w:p w14:paraId="189EDDE4" w14:textId="77777777" w:rsidR="00C800FF" w:rsidRPr="0021236D" w:rsidRDefault="00C800FF" w:rsidP="00551C46">
            <w:pPr>
              <w:rPr>
                <w:rFonts w:ascii="Calibri" w:hAnsi="Calibri" w:cs="Calibri"/>
                <w:b/>
                <w:bCs/>
                <w:color w:val="000000"/>
              </w:rPr>
            </w:pPr>
            <w:r w:rsidRPr="0021236D">
              <w:rPr>
                <w:rFonts w:ascii="Calibri" w:hAnsi="Calibri" w:cs="Calibri"/>
                <w:b/>
                <w:bCs/>
                <w:color w:val="000000"/>
              </w:rPr>
              <w:t>Level</w:t>
            </w:r>
          </w:p>
        </w:tc>
        <w:tc>
          <w:tcPr>
            <w:tcW w:w="1080" w:type="dxa"/>
            <w:shd w:val="clear" w:color="auto" w:fill="B8CCE4" w:themeFill="accent1" w:themeFillTint="66"/>
            <w:vAlign w:val="center"/>
          </w:tcPr>
          <w:p w14:paraId="73941242" w14:textId="0E9787E6" w:rsidR="00C800FF" w:rsidRPr="0021236D" w:rsidRDefault="00C800FF" w:rsidP="00551C46">
            <w:pPr>
              <w:rPr>
                <w:rFonts w:ascii="Calibri" w:hAnsi="Calibri" w:cs="Calibri"/>
                <w:b/>
                <w:bCs/>
                <w:color w:val="000000"/>
              </w:rPr>
            </w:pPr>
            <w:r>
              <w:rPr>
                <w:rFonts w:ascii="Calibri" w:hAnsi="Calibri" w:cs="Calibri"/>
                <w:b/>
                <w:bCs/>
                <w:color w:val="000000"/>
              </w:rPr>
              <w:t>Baseline</w:t>
            </w:r>
          </w:p>
        </w:tc>
        <w:tc>
          <w:tcPr>
            <w:tcW w:w="1159" w:type="dxa"/>
            <w:shd w:val="clear" w:color="auto" w:fill="B8CCE4" w:themeFill="accent1" w:themeFillTint="66"/>
            <w:vAlign w:val="center"/>
          </w:tcPr>
          <w:p w14:paraId="21B33E16" w14:textId="1CE0B532" w:rsidR="00C800FF" w:rsidRPr="0021236D" w:rsidRDefault="00C800FF" w:rsidP="00551C46">
            <w:pPr>
              <w:rPr>
                <w:rFonts w:ascii="Calibri" w:hAnsi="Calibri" w:cs="Calibri"/>
                <w:b/>
                <w:bCs/>
                <w:color w:val="000000"/>
              </w:rPr>
            </w:pPr>
            <w:r w:rsidRPr="0021236D">
              <w:rPr>
                <w:rFonts w:ascii="Calibri" w:hAnsi="Calibri" w:cs="Calibri"/>
                <w:b/>
                <w:bCs/>
                <w:color w:val="000000"/>
              </w:rPr>
              <w:t>Actual Achieved</w:t>
            </w:r>
          </w:p>
        </w:tc>
        <w:tc>
          <w:tcPr>
            <w:tcW w:w="1114" w:type="dxa"/>
            <w:shd w:val="clear" w:color="auto" w:fill="B8CCE4" w:themeFill="accent1" w:themeFillTint="66"/>
            <w:vAlign w:val="center"/>
          </w:tcPr>
          <w:p w14:paraId="746185B1" w14:textId="77777777" w:rsidR="00C800FF" w:rsidRPr="0021236D" w:rsidRDefault="00C800FF" w:rsidP="00551C46">
            <w:pPr>
              <w:rPr>
                <w:rFonts w:ascii="Calibri" w:hAnsi="Calibri" w:cs="Calibri"/>
                <w:b/>
                <w:bCs/>
                <w:color w:val="000000"/>
              </w:rPr>
            </w:pPr>
            <w:r w:rsidRPr="0021236D">
              <w:rPr>
                <w:rFonts w:ascii="Calibri" w:hAnsi="Calibri" w:cs="Calibri"/>
                <w:b/>
                <w:bCs/>
                <w:color w:val="000000"/>
              </w:rPr>
              <w:t>Target</w:t>
            </w:r>
          </w:p>
        </w:tc>
        <w:tc>
          <w:tcPr>
            <w:tcW w:w="1975" w:type="dxa"/>
            <w:shd w:val="clear" w:color="auto" w:fill="B8CCE4" w:themeFill="accent1" w:themeFillTint="66"/>
            <w:vAlign w:val="center"/>
          </w:tcPr>
          <w:p w14:paraId="5C52BDE0" w14:textId="77777777" w:rsidR="00C800FF" w:rsidRPr="0021236D" w:rsidRDefault="00C800FF" w:rsidP="00551C46">
            <w:pPr>
              <w:rPr>
                <w:rFonts w:ascii="Calibri" w:hAnsi="Calibri" w:cs="Calibri"/>
                <w:b/>
                <w:bCs/>
                <w:color w:val="000000"/>
              </w:rPr>
            </w:pPr>
            <w:r w:rsidRPr="0021236D">
              <w:rPr>
                <w:rFonts w:ascii="Calibri" w:hAnsi="Calibri" w:cs="Calibri"/>
                <w:b/>
                <w:bCs/>
                <w:color w:val="000000"/>
              </w:rPr>
              <w:t>Percent Complete</w:t>
            </w:r>
          </w:p>
        </w:tc>
      </w:tr>
      <w:tr w:rsidR="00C800FF" w:rsidRPr="0021236D" w14:paraId="1E2CB6A5" w14:textId="77777777" w:rsidTr="00C800FF">
        <w:trPr>
          <w:trHeight w:val="300"/>
          <w:jc w:val="center"/>
        </w:trPr>
        <w:tc>
          <w:tcPr>
            <w:tcW w:w="2953" w:type="dxa"/>
            <w:noWrap/>
          </w:tcPr>
          <w:p w14:paraId="782A676B" w14:textId="77777777" w:rsidR="00C800FF" w:rsidRPr="0021236D" w:rsidRDefault="00C800FF" w:rsidP="00551C46">
            <w:pPr>
              <w:rPr>
                <w:rFonts w:ascii="Calibri" w:eastAsia="Times New Roman" w:hAnsi="Calibri" w:cs="Calibri"/>
                <w:color w:val="000000"/>
              </w:rPr>
            </w:pPr>
            <w:r>
              <w:rPr>
                <w:rFonts w:ascii="Calibri" w:eastAsia="Times New Roman" w:hAnsi="Calibri" w:cs="Calibri"/>
                <w:color w:val="000000"/>
              </w:rPr>
              <w:t>Percent reduction in travel time</w:t>
            </w:r>
          </w:p>
        </w:tc>
        <w:tc>
          <w:tcPr>
            <w:tcW w:w="1295" w:type="dxa"/>
            <w:vAlign w:val="center"/>
          </w:tcPr>
          <w:p w14:paraId="0DCE7DAB" w14:textId="77777777" w:rsidR="00C800FF" w:rsidRPr="0021236D" w:rsidRDefault="00C800FF" w:rsidP="00551C46">
            <w:pPr>
              <w:jc w:val="center"/>
              <w:rPr>
                <w:rFonts w:ascii="Calibri" w:eastAsia="Times New Roman" w:hAnsi="Calibri" w:cs="Calibri"/>
                <w:color w:val="000000"/>
              </w:rPr>
            </w:pPr>
            <w:r>
              <w:rPr>
                <w:rFonts w:ascii="Calibri" w:eastAsia="Times New Roman" w:hAnsi="Calibri" w:cs="Calibri"/>
                <w:color w:val="000000"/>
              </w:rPr>
              <w:t>Outcome</w:t>
            </w:r>
          </w:p>
        </w:tc>
        <w:tc>
          <w:tcPr>
            <w:tcW w:w="1080" w:type="dxa"/>
            <w:tcBorders>
              <w:right w:val="single" w:sz="8" w:space="0" w:color="auto"/>
            </w:tcBorders>
            <w:vAlign w:val="center"/>
          </w:tcPr>
          <w:p w14:paraId="538FB180" w14:textId="66453714" w:rsidR="00C800FF" w:rsidRDefault="00C800FF" w:rsidP="00551C46">
            <w:pPr>
              <w:jc w:val="center"/>
              <w:rPr>
                <w:rFonts w:ascii="Calibri" w:eastAsia="Times New Roman" w:hAnsi="Calibri" w:cs="Calibri"/>
                <w:color w:val="000000"/>
              </w:rPr>
            </w:pPr>
            <w:r>
              <w:rPr>
                <w:rFonts w:ascii="Calibri" w:eastAsia="Times New Roman" w:hAnsi="Calibri" w:cs="Calibri"/>
                <w:color w:val="000000"/>
              </w:rPr>
              <w:t>0</w:t>
            </w:r>
          </w:p>
        </w:tc>
        <w:tc>
          <w:tcPr>
            <w:tcW w:w="115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5B7BE18" w14:textId="128D58AD" w:rsidR="00C800FF" w:rsidRPr="0021236D" w:rsidRDefault="00C800FF" w:rsidP="00551C46">
            <w:pPr>
              <w:jc w:val="center"/>
              <w:rPr>
                <w:rFonts w:ascii="Calibri" w:eastAsia="Times New Roman" w:hAnsi="Calibri" w:cs="Calibri"/>
                <w:color w:val="000000"/>
              </w:rPr>
            </w:pPr>
            <w:r>
              <w:rPr>
                <w:rFonts w:ascii="Calibri" w:eastAsia="Times New Roman" w:hAnsi="Calibri" w:cs="Calibri"/>
                <w:color w:val="000000"/>
              </w:rPr>
              <w:t>58.5</w:t>
            </w:r>
          </w:p>
        </w:tc>
        <w:tc>
          <w:tcPr>
            <w:tcW w:w="1114" w:type="dxa"/>
            <w:tcBorders>
              <w:top w:val="single" w:sz="4" w:space="0" w:color="auto"/>
              <w:left w:val="single" w:sz="8" w:space="0" w:color="auto"/>
              <w:bottom w:val="single" w:sz="4" w:space="0" w:color="auto"/>
              <w:right w:val="single" w:sz="4" w:space="0" w:color="auto"/>
            </w:tcBorders>
            <w:shd w:val="clear" w:color="000000" w:fill="auto"/>
            <w:noWrap/>
            <w:vAlign w:val="center"/>
          </w:tcPr>
          <w:p w14:paraId="350488AB" w14:textId="77777777" w:rsidR="00C800FF" w:rsidRPr="0021236D" w:rsidRDefault="00C800FF" w:rsidP="00551C46">
            <w:pPr>
              <w:jc w:val="center"/>
              <w:rPr>
                <w:rFonts w:ascii="Calibri" w:eastAsia="Times New Roman" w:hAnsi="Calibri" w:cs="Calibri"/>
                <w:color w:val="000000"/>
              </w:rPr>
            </w:pPr>
            <w:r>
              <w:rPr>
                <w:rFonts w:ascii="Calibri" w:eastAsia="Times New Roman" w:hAnsi="Calibri" w:cs="Calibri"/>
                <w:color w:val="000000"/>
              </w:rPr>
              <w:t>20</w:t>
            </w:r>
          </w:p>
        </w:tc>
        <w:tc>
          <w:tcPr>
            <w:tcW w:w="1975" w:type="dxa"/>
            <w:tcBorders>
              <w:top w:val="single" w:sz="4" w:space="0" w:color="auto"/>
              <w:left w:val="nil"/>
              <w:bottom w:val="single" w:sz="4" w:space="0" w:color="auto"/>
              <w:right w:val="single" w:sz="4" w:space="0" w:color="auto"/>
            </w:tcBorders>
            <w:shd w:val="clear" w:color="auto" w:fill="auto"/>
            <w:noWrap/>
            <w:vAlign w:val="center"/>
          </w:tcPr>
          <w:p w14:paraId="09FBDBD2" w14:textId="77777777" w:rsidR="00C800FF" w:rsidRPr="0021236D" w:rsidRDefault="00C800FF" w:rsidP="00551C46">
            <w:pPr>
              <w:jc w:val="center"/>
              <w:rPr>
                <w:rFonts w:ascii="Calibri" w:eastAsia="Times New Roman" w:hAnsi="Calibri" w:cs="Calibri"/>
                <w:color w:val="000000"/>
              </w:rPr>
            </w:pPr>
            <w:r>
              <w:rPr>
                <w:rFonts w:ascii="Calibri" w:eastAsia="Times New Roman" w:hAnsi="Calibri" w:cs="Calibri"/>
                <w:color w:val="000000"/>
              </w:rPr>
              <w:t>293%</w:t>
            </w:r>
          </w:p>
        </w:tc>
      </w:tr>
      <w:tr w:rsidR="00C800FF" w:rsidRPr="0021236D" w14:paraId="3C4F3CF7" w14:textId="77777777" w:rsidTr="00C800FF">
        <w:trPr>
          <w:trHeight w:val="300"/>
          <w:jc w:val="center"/>
        </w:trPr>
        <w:tc>
          <w:tcPr>
            <w:tcW w:w="2953" w:type="dxa"/>
            <w:noWrap/>
          </w:tcPr>
          <w:p w14:paraId="3467A9FD" w14:textId="77777777" w:rsidR="00C800FF" w:rsidRPr="003710E8" w:rsidRDefault="00C800FF" w:rsidP="00551C46">
            <w:pPr>
              <w:rPr>
                <w:rFonts w:ascii="Calibri" w:eastAsia="Times New Roman" w:hAnsi="Calibri" w:cs="Calibri"/>
                <w:color w:val="000000"/>
              </w:rPr>
            </w:pPr>
            <w:r w:rsidRPr="00A37A77">
              <w:rPr>
                <w:rFonts w:ascii="Calibri" w:eastAsia="Times New Roman" w:hAnsi="Calibri" w:cs="Calibri"/>
                <w:color w:val="000000"/>
              </w:rPr>
              <w:t>Transport cost reductions on project roads</w:t>
            </w:r>
          </w:p>
        </w:tc>
        <w:tc>
          <w:tcPr>
            <w:tcW w:w="1295" w:type="dxa"/>
            <w:vAlign w:val="center"/>
          </w:tcPr>
          <w:p w14:paraId="07F124C8" w14:textId="77777777" w:rsidR="00C800FF" w:rsidRDefault="00C800FF" w:rsidP="00551C46">
            <w:pPr>
              <w:jc w:val="center"/>
              <w:rPr>
                <w:rFonts w:ascii="Calibri" w:eastAsia="Times New Roman" w:hAnsi="Calibri" w:cs="Calibri"/>
                <w:color w:val="000000"/>
              </w:rPr>
            </w:pPr>
            <w:r>
              <w:rPr>
                <w:rFonts w:ascii="Calibri" w:eastAsia="Times New Roman" w:hAnsi="Calibri" w:cs="Calibri"/>
                <w:color w:val="000000"/>
              </w:rPr>
              <w:t>Outcome</w:t>
            </w:r>
          </w:p>
        </w:tc>
        <w:tc>
          <w:tcPr>
            <w:tcW w:w="1080" w:type="dxa"/>
            <w:tcBorders>
              <w:right w:val="single" w:sz="8" w:space="0" w:color="auto"/>
            </w:tcBorders>
            <w:shd w:val="clear" w:color="000000" w:fill="auto"/>
            <w:vAlign w:val="center"/>
          </w:tcPr>
          <w:p w14:paraId="7660684D" w14:textId="085EE0C5" w:rsidR="00C800FF" w:rsidRPr="00A37A77" w:rsidRDefault="00C800FF" w:rsidP="00551C46">
            <w:pPr>
              <w:jc w:val="center"/>
              <w:rPr>
                <w:rFonts w:ascii="Calibri" w:eastAsia="Times New Roman" w:hAnsi="Calibri" w:cs="Calibri"/>
                <w:color w:val="000000"/>
              </w:rPr>
            </w:pPr>
            <w:r>
              <w:rPr>
                <w:rFonts w:ascii="Calibri" w:eastAsia="Times New Roman" w:hAnsi="Calibri" w:cs="Calibri"/>
                <w:color w:val="000000"/>
              </w:rPr>
              <w:t>0</w:t>
            </w:r>
          </w:p>
        </w:tc>
        <w:tc>
          <w:tcPr>
            <w:tcW w:w="1159" w:type="dxa"/>
            <w:tcBorders>
              <w:top w:val="single" w:sz="4" w:space="0" w:color="auto"/>
              <w:left w:val="single" w:sz="8" w:space="0" w:color="auto"/>
              <w:bottom w:val="single" w:sz="4" w:space="0" w:color="auto"/>
              <w:right w:val="single" w:sz="4" w:space="0" w:color="auto"/>
            </w:tcBorders>
            <w:shd w:val="clear" w:color="000000" w:fill="auto"/>
            <w:noWrap/>
            <w:vAlign w:val="center"/>
          </w:tcPr>
          <w:p w14:paraId="491CC647" w14:textId="4A994E5F" w:rsidR="00C800FF" w:rsidRPr="00A37A77" w:rsidRDefault="00C800FF" w:rsidP="00551C46">
            <w:pPr>
              <w:jc w:val="center"/>
              <w:rPr>
                <w:rFonts w:ascii="Calibri" w:eastAsia="Times New Roman" w:hAnsi="Calibri" w:cs="Calibri"/>
                <w:color w:val="000000"/>
              </w:rPr>
            </w:pPr>
            <w:r w:rsidRPr="00A37A77">
              <w:rPr>
                <w:rFonts w:ascii="Calibri" w:eastAsia="Times New Roman" w:hAnsi="Calibri" w:cs="Calibri"/>
                <w:color w:val="000000"/>
              </w:rPr>
              <w:t>25.8</w:t>
            </w:r>
          </w:p>
        </w:tc>
        <w:tc>
          <w:tcPr>
            <w:tcW w:w="1114" w:type="dxa"/>
            <w:tcBorders>
              <w:top w:val="single" w:sz="4" w:space="0" w:color="auto"/>
              <w:left w:val="single" w:sz="8" w:space="0" w:color="auto"/>
              <w:bottom w:val="single" w:sz="4" w:space="0" w:color="auto"/>
              <w:right w:val="single" w:sz="4" w:space="0" w:color="auto"/>
            </w:tcBorders>
            <w:shd w:val="clear" w:color="000000" w:fill="auto"/>
            <w:noWrap/>
            <w:vAlign w:val="center"/>
          </w:tcPr>
          <w:p w14:paraId="6FEF5F6B" w14:textId="77777777" w:rsidR="00C800FF" w:rsidRPr="00A37A77" w:rsidRDefault="00C800FF" w:rsidP="00551C46">
            <w:pPr>
              <w:jc w:val="center"/>
              <w:rPr>
                <w:rFonts w:ascii="Calibri" w:eastAsia="Times New Roman" w:hAnsi="Calibri" w:cs="Calibri"/>
                <w:color w:val="000000"/>
              </w:rPr>
            </w:pPr>
            <w:r w:rsidRPr="00A37A77">
              <w:rPr>
                <w:rFonts w:ascii="Calibri" w:eastAsia="Times New Roman" w:hAnsi="Calibri" w:cs="Calibri"/>
                <w:color w:val="000000"/>
              </w:rPr>
              <w:t>20</w:t>
            </w:r>
          </w:p>
        </w:tc>
        <w:tc>
          <w:tcPr>
            <w:tcW w:w="1975" w:type="dxa"/>
            <w:tcBorders>
              <w:top w:val="single" w:sz="4" w:space="0" w:color="auto"/>
              <w:left w:val="nil"/>
              <w:bottom w:val="single" w:sz="4" w:space="0" w:color="auto"/>
              <w:right w:val="single" w:sz="4" w:space="0" w:color="auto"/>
            </w:tcBorders>
            <w:shd w:val="clear" w:color="auto" w:fill="auto"/>
            <w:noWrap/>
            <w:vAlign w:val="center"/>
          </w:tcPr>
          <w:p w14:paraId="4D2C6C9A" w14:textId="77777777" w:rsidR="00C800FF" w:rsidRDefault="00C800FF" w:rsidP="00551C46">
            <w:pPr>
              <w:jc w:val="center"/>
              <w:rPr>
                <w:rFonts w:ascii="Arial" w:hAnsi="Arial" w:cs="Arial"/>
                <w:sz w:val="20"/>
                <w:szCs w:val="20"/>
              </w:rPr>
            </w:pPr>
            <w:r w:rsidRPr="00561D82">
              <w:rPr>
                <w:rFonts w:ascii="Calibri" w:eastAsia="Times New Roman" w:hAnsi="Calibri" w:cs="Calibri"/>
                <w:color w:val="000000"/>
              </w:rPr>
              <w:t>129%</w:t>
            </w:r>
          </w:p>
        </w:tc>
      </w:tr>
      <w:tr w:rsidR="00C800FF" w:rsidRPr="0021236D" w14:paraId="5B20B0B3" w14:textId="77777777" w:rsidTr="00C800FF">
        <w:trPr>
          <w:trHeight w:val="300"/>
          <w:jc w:val="center"/>
        </w:trPr>
        <w:tc>
          <w:tcPr>
            <w:tcW w:w="2953" w:type="dxa"/>
            <w:noWrap/>
          </w:tcPr>
          <w:p w14:paraId="46E2B495" w14:textId="77777777" w:rsidR="00C800FF" w:rsidRDefault="00C800FF" w:rsidP="00551C46">
            <w:pPr>
              <w:rPr>
                <w:rFonts w:ascii="Calibri" w:eastAsia="Times New Roman" w:hAnsi="Calibri" w:cs="Calibri"/>
                <w:color w:val="000000"/>
              </w:rPr>
            </w:pPr>
            <w:r w:rsidRPr="004A2903">
              <w:rPr>
                <w:rFonts w:ascii="Calibri" w:eastAsia="Times New Roman" w:hAnsi="Calibri" w:cs="Calibri"/>
                <w:color w:val="000000"/>
              </w:rPr>
              <w:t>Number of person-days/month of jobs created</w:t>
            </w:r>
          </w:p>
        </w:tc>
        <w:tc>
          <w:tcPr>
            <w:tcW w:w="1295" w:type="dxa"/>
            <w:vAlign w:val="center"/>
          </w:tcPr>
          <w:p w14:paraId="0236A4B4" w14:textId="77777777" w:rsidR="00C800FF" w:rsidRDefault="00C800FF" w:rsidP="00551C46">
            <w:pPr>
              <w:jc w:val="center"/>
              <w:rPr>
                <w:rFonts w:ascii="Calibri" w:eastAsia="Times New Roman" w:hAnsi="Calibri" w:cs="Calibri"/>
                <w:color w:val="000000"/>
              </w:rPr>
            </w:pPr>
            <w:r>
              <w:rPr>
                <w:rFonts w:ascii="Calibri" w:eastAsia="Times New Roman" w:hAnsi="Calibri" w:cs="Calibri"/>
                <w:color w:val="000000"/>
              </w:rPr>
              <w:t>Output</w:t>
            </w:r>
          </w:p>
        </w:tc>
        <w:tc>
          <w:tcPr>
            <w:tcW w:w="1080" w:type="dxa"/>
            <w:vAlign w:val="center"/>
          </w:tcPr>
          <w:p w14:paraId="4DD3BB71" w14:textId="7E81EC97" w:rsidR="00C800FF" w:rsidRPr="00F82BA6" w:rsidRDefault="00C800FF" w:rsidP="00844694">
            <w:pPr>
              <w:jc w:val="center"/>
              <w:rPr>
                <w:rFonts w:ascii="Calibri" w:eastAsia="Times New Roman" w:hAnsi="Calibri" w:cs="Calibri"/>
                <w:color w:val="000000"/>
              </w:rPr>
            </w:pPr>
            <w:r>
              <w:rPr>
                <w:rFonts w:ascii="Calibri" w:eastAsia="Times New Roman" w:hAnsi="Calibri" w:cs="Calibri"/>
                <w:color w:val="000000"/>
              </w:rPr>
              <w:t>0</w:t>
            </w:r>
          </w:p>
        </w:tc>
        <w:tc>
          <w:tcPr>
            <w:tcW w:w="1159" w:type="dxa"/>
            <w:noWrap/>
            <w:vAlign w:val="center"/>
          </w:tcPr>
          <w:p w14:paraId="05594870" w14:textId="6B8E5159" w:rsidR="00C800FF" w:rsidRDefault="00C800FF" w:rsidP="00844694">
            <w:pPr>
              <w:jc w:val="center"/>
              <w:rPr>
                <w:rFonts w:ascii="Calibri" w:eastAsia="Times New Roman" w:hAnsi="Calibri" w:cs="Calibri"/>
                <w:color w:val="000000"/>
              </w:rPr>
            </w:pPr>
            <w:r w:rsidRPr="00F82BA6">
              <w:rPr>
                <w:rFonts w:ascii="Calibri" w:eastAsia="Times New Roman" w:hAnsi="Calibri" w:cs="Calibri"/>
                <w:color w:val="000000"/>
              </w:rPr>
              <w:t>39,855</w:t>
            </w:r>
          </w:p>
        </w:tc>
        <w:tc>
          <w:tcPr>
            <w:tcW w:w="1114" w:type="dxa"/>
            <w:noWrap/>
            <w:vAlign w:val="center"/>
          </w:tcPr>
          <w:p w14:paraId="4D3CA943" w14:textId="77777777" w:rsidR="00C800FF" w:rsidRDefault="00C800FF" w:rsidP="00551C46">
            <w:pPr>
              <w:jc w:val="center"/>
              <w:rPr>
                <w:rFonts w:ascii="Calibri" w:eastAsia="Times New Roman" w:hAnsi="Calibri" w:cs="Calibri"/>
                <w:color w:val="000000"/>
              </w:rPr>
            </w:pPr>
            <w:r w:rsidRPr="00F82BA6">
              <w:rPr>
                <w:rFonts w:ascii="Calibri" w:eastAsia="Times New Roman" w:hAnsi="Calibri" w:cs="Calibri"/>
                <w:color w:val="000000"/>
              </w:rPr>
              <w:t>36,650</w:t>
            </w:r>
          </w:p>
        </w:tc>
        <w:tc>
          <w:tcPr>
            <w:tcW w:w="1975" w:type="dxa"/>
            <w:noWrap/>
            <w:vAlign w:val="center"/>
          </w:tcPr>
          <w:p w14:paraId="2B363F21" w14:textId="77777777" w:rsidR="00C800FF" w:rsidRDefault="00C800FF" w:rsidP="00551C46">
            <w:pPr>
              <w:jc w:val="center"/>
              <w:rPr>
                <w:rFonts w:ascii="Calibri" w:eastAsia="Times New Roman" w:hAnsi="Calibri" w:cs="Calibri"/>
                <w:color w:val="000000"/>
              </w:rPr>
            </w:pPr>
            <w:r>
              <w:rPr>
                <w:rFonts w:ascii="Calibri" w:eastAsia="Times New Roman" w:hAnsi="Calibri" w:cs="Calibri"/>
                <w:color w:val="000000"/>
              </w:rPr>
              <w:t>109%</w:t>
            </w:r>
          </w:p>
        </w:tc>
      </w:tr>
      <w:tr w:rsidR="00C800FF" w:rsidRPr="0021236D" w14:paraId="693B2A6C" w14:textId="77777777" w:rsidTr="00C800FF">
        <w:trPr>
          <w:trHeight w:val="300"/>
          <w:jc w:val="center"/>
        </w:trPr>
        <w:tc>
          <w:tcPr>
            <w:tcW w:w="2953" w:type="dxa"/>
            <w:noWrap/>
          </w:tcPr>
          <w:p w14:paraId="1027A975" w14:textId="77777777" w:rsidR="00C800FF" w:rsidRPr="0021236D" w:rsidRDefault="00C800FF" w:rsidP="00551C46">
            <w:pPr>
              <w:rPr>
                <w:rFonts w:ascii="Calibri" w:eastAsia="Times New Roman" w:hAnsi="Calibri" w:cs="Calibri"/>
                <w:color w:val="000000"/>
              </w:rPr>
            </w:pPr>
            <w:r>
              <w:rPr>
                <w:rFonts w:ascii="Calibri" w:eastAsia="Times New Roman" w:hAnsi="Calibri" w:cs="Calibri"/>
                <w:color w:val="000000"/>
              </w:rPr>
              <w:t>Roads rehabilitated</w:t>
            </w:r>
          </w:p>
        </w:tc>
        <w:tc>
          <w:tcPr>
            <w:tcW w:w="1295" w:type="dxa"/>
            <w:vAlign w:val="center"/>
          </w:tcPr>
          <w:p w14:paraId="5C9CAC98" w14:textId="77777777" w:rsidR="00C800FF" w:rsidRPr="0021236D" w:rsidRDefault="00C800FF" w:rsidP="00551C46">
            <w:pPr>
              <w:jc w:val="center"/>
              <w:rPr>
                <w:rFonts w:ascii="Calibri" w:eastAsia="Times New Roman" w:hAnsi="Calibri" w:cs="Calibri"/>
                <w:color w:val="000000"/>
              </w:rPr>
            </w:pPr>
            <w:r>
              <w:rPr>
                <w:rFonts w:ascii="Calibri" w:eastAsia="Times New Roman" w:hAnsi="Calibri" w:cs="Calibri"/>
                <w:color w:val="000000"/>
              </w:rPr>
              <w:t>Output</w:t>
            </w:r>
          </w:p>
        </w:tc>
        <w:tc>
          <w:tcPr>
            <w:tcW w:w="1080" w:type="dxa"/>
            <w:vAlign w:val="center"/>
          </w:tcPr>
          <w:p w14:paraId="52FA6C1E" w14:textId="3AE1ABA0" w:rsidR="00C800FF" w:rsidRDefault="00C800FF" w:rsidP="00844694">
            <w:pPr>
              <w:jc w:val="center"/>
              <w:rPr>
                <w:rFonts w:ascii="Calibri" w:eastAsia="Times New Roman" w:hAnsi="Calibri" w:cs="Calibri"/>
                <w:color w:val="000000"/>
              </w:rPr>
            </w:pPr>
            <w:r>
              <w:rPr>
                <w:rFonts w:ascii="Calibri" w:eastAsia="Times New Roman" w:hAnsi="Calibri" w:cs="Calibri"/>
                <w:color w:val="000000"/>
              </w:rPr>
              <w:t>0</w:t>
            </w:r>
          </w:p>
        </w:tc>
        <w:tc>
          <w:tcPr>
            <w:tcW w:w="1159" w:type="dxa"/>
            <w:noWrap/>
            <w:vAlign w:val="center"/>
          </w:tcPr>
          <w:p w14:paraId="01961AD0" w14:textId="4ECABE7C" w:rsidR="00C800FF" w:rsidRPr="0021236D" w:rsidRDefault="00C800FF" w:rsidP="00844694">
            <w:pPr>
              <w:jc w:val="center"/>
              <w:rPr>
                <w:rFonts w:ascii="Calibri" w:eastAsia="Times New Roman" w:hAnsi="Calibri" w:cs="Calibri"/>
                <w:color w:val="000000"/>
              </w:rPr>
            </w:pPr>
            <w:r>
              <w:rPr>
                <w:rFonts w:ascii="Calibri" w:eastAsia="Times New Roman" w:hAnsi="Calibri" w:cs="Calibri"/>
                <w:color w:val="000000"/>
              </w:rPr>
              <w:t>446</w:t>
            </w:r>
          </w:p>
        </w:tc>
        <w:tc>
          <w:tcPr>
            <w:tcW w:w="1114" w:type="dxa"/>
            <w:noWrap/>
            <w:vAlign w:val="center"/>
          </w:tcPr>
          <w:p w14:paraId="768F5DFF" w14:textId="77777777" w:rsidR="00C800FF" w:rsidRPr="0021236D" w:rsidRDefault="00C800FF" w:rsidP="00551C46">
            <w:pPr>
              <w:jc w:val="center"/>
              <w:rPr>
                <w:rFonts w:ascii="Calibri" w:eastAsia="Times New Roman" w:hAnsi="Calibri" w:cs="Calibri"/>
                <w:color w:val="000000"/>
              </w:rPr>
            </w:pPr>
            <w:r>
              <w:rPr>
                <w:rFonts w:ascii="Calibri" w:eastAsia="Times New Roman" w:hAnsi="Calibri" w:cs="Calibri"/>
                <w:color w:val="000000"/>
              </w:rPr>
              <w:t>430</w:t>
            </w:r>
          </w:p>
        </w:tc>
        <w:tc>
          <w:tcPr>
            <w:tcW w:w="1975" w:type="dxa"/>
            <w:noWrap/>
            <w:vAlign w:val="center"/>
          </w:tcPr>
          <w:p w14:paraId="751607EE" w14:textId="77777777" w:rsidR="00C800FF" w:rsidRPr="0021236D" w:rsidRDefault="00C800FF" w:rsidP="00551C46">
            <w:pPr>
              <w:jc w:val="center"/>
              <w:rPr>
                <w:rFonts w:ascii="Calibri" w:eastAsia="Times New Roman" w:hAnsi="Calibri" w:cs="Calibri"/>
                <w:color w:val="000000"/>
              </w:rPr>
            </w:pPr>
            <w:r>
              <w:rPr>
                <w:rFonts w:ascii="Calibri" w:eastAsia="Times New Roman" w:hAnsi="Calibri" w:cs="Calibri"/>
                <w:color w:val="000000"/>
              </w:rPr>
              <w:t>104%</w:t>
            </w:r>
          </w:p>
        </w:tc>
      </w:tr>
    </w:tbl>
    <w:p w14:paraId="1DD75FE8" w14:textId="770A3232" w:rsidR="00DE0A38" w:rsidRDefault="00917964" w:rsidP="0021236D">
      <w:pPr>
        <w:spacing w:after="0" w:line="240" w:lineRule="auto"/>
        <w:rPr>
          <w:rFonts w:ascii="Calibri" w:hAnsi="Calibri" w:cs="Calibri"/>
          <w:sz w:val="20"/>
          <w:szCs w:val="20"/>
        </w:rPr>
      </w:pPr>
      <w:r w:rsidRPr="005B6D00">
        <w:rPr>
          <w:rFonts w:ascii="Calibri" w:hAnsi="Calibri" w:cs="Calibri"/>
          <w:sz w:val="20"/>
          <w:szCs w:val="20"/>
        </w:rPr>
        <w:t>Source:</w:t>
      </w:r>
      <w:r w:rsidR="003C31E5" w:rsidRPr="005B6D00">
        <w:rPr>
          <w:rFonts w:ascii="Calibri" w:hAnsi="Calibri" w:cs="Calibri"/>
          <w:sz w:val="20"/>
          <w:szCs w:val="20"/>
        </w:rPr>
        <w:t xml:space="preserve"> The World Bank’s Implementation Completion and R</w:t>
      </w:r>
      <w:r w:rsidR="00003DC9" w:rsidRPr="005B6D00">
        <w:rPr>
          <w:rFonts w:ascii="Calibri" w:hAnsi="Calibri" w:cs="Calibri"/>
          <w:sz w:val="20"/>
          <w:szCs w:val="20"/>
        </w:rPr>
        <w:t>esults Report.</w:t>
      </w:r>
      <w:r w:rsidR="003C31E5" w:rsidRPr="005B6D00">
        <w:rPr>
          <w:rFonts w:ascii="Calibri" w:hAnsi="Calibri" w:cs="Calibri"/>
          <w:sz w:val="20"/>
          <w:szCs w:val="20"/>
        </w:rPr>
        <w:t xml:space="preserve"> </w:t>
      </w:r>
      <w:hyperlink r:id="rId13" w:history="1">
        <w:r w:rsidR="003C31E5" w:rsidRPr="005B6D00">
          <w:rPr>
            <w:rStyle w:val="Hyperlink"/>
            <w:rFonts w:ascii="Calibri" w:hAnsi="Calibri" w:cs="Calibri"/>
            <w:sz w:val="20"/>
            <w:szCs w:val="20"/>
          </w:rPr>
          <w:t>http://www-wds.worldbank.org/external/default/WDSContentServer/WDSP/IB/2014/06/19/000333037_20140619121331/Rendered/PDF/ICR31450P115480C0disclosed060170140.pdf</w:t>
        </w:r>
      </w:hyperlink>
    </w:p>
    <w:p w14:paraId="15EE36DC" w14:textId="77777777" w:rsidR="00917964" w:rsidRDefault="00917964" w:rsidP="0021236D">
      <w:pPr>
        <w:spacing w:after="0" w:line="240" w:lineRule="auto"/>
        <w:rPr>
          <w:rFonts w:ascii="Calibri" w:hAnsi="Calibri" w:cs="Calibri"/>
          <w:b/>
        </w:rPr>
      </w:pPr>
    </w:p>
    <w:p w14:paraId="6A87059F" w14:textId="77777777" w:rsidR="007E0E20" w:rsidRPr="002D155B" w:rsidRDefault="008D234E" w:rsidP="0021236D">
      <w:pPr>
        <w:spacing w:after="0" w:line="240" w:lineRule="auto"/>
        <w:rPr>
          <w:rFonts w:ascii="Calibri" w:hAnsi="Calibri" w:cs="Calibri"/>
        </w:rPr>
      </w:pPr>
      <w:r w:rsidRPr="002D155B">
        <w:rPr>
          <w:rFonts w:ascii="Calibri" w:hAnsi="Calibri" w:cs="Calibri"/>
        </w:rPr>
        <w:t>The average completion rate of output and outcome targets</w:t>
      </w:r>
      <w:r w:rsidR="00E32FE8" w:rsidRPr="002D155B">
        <w:rPr>
          <w:rFonts w:ascii="Calibri" w:hAnsi="Calibri" w:cs="Calibri"/>
        </w:rPr>
        <w:t xml:space="preserve"> for the MCC Armenia road project </w:t>
      </w:r>
      <w:r w:rsidRPr="002D155B">
        <w:rPr>
          <w:rFonts w:ascii="Calibri" w:hAnsi="Calibri" w:cs="Calibri"/>
        </w:rPr>
        <w:t xml:space="preserve">is </w:t>
      </w:r>
      <w:r w:rsidR="006B69D3">
        <w:rPr>
          <w:rFonts w:ascii="Calibri" w:hAnsi="Calibri" w:cs="Calibri"/>
        </w:rPr>
        <w:t>134</w:t>
      </w:r>
      <w:r w:rsidRPr="002D155B">
        <w:rPr>
          <w:rFonts w:ascii="Calibri" w:hAnsi="Calibri" w:cs="Calibri"/>
        </w:rPr>
        <w:t xml:space="preserve">% percent; and </w:t>
      </w:r>
      <w:r w:rsidR="00905512">
        <w:rPr>
          <w:rFonts w:ascii="Calibri" w:hAnsi="Calibri" w:cs="Calibri"/>
        </w:rPr>
        <w:t>for</w:t>
      </w:r>
      <w:r w:rsidRPr="002D155B">
        <w:rPr>
          <w:rFonts w:ascii="Calibri" w:hAnsi="Calibri" w:cs="Calibri"/>
        </w:rPr>
        <w:t xml:space="preserve"> </w:t>
      </w:r>
      <w:r w:rsidR="002D155B" w:rsidRPr="002D155B">
        <w:rPr>
          <w:rFonts w:ascii="Calibri" w:hAnsi="Calibri" w:cs="Calibri"/>
        </w:rPr>
        <w:t>5</w:t>
      </w:r>
      <w:r w:rsidRPr="002D155B">
        <w:rPr>
          <w:rFonts w:ascii="Calibri" w:hAnsi="Calibri" w:cs="Calibri"/>
        </w:rPr>
        <w:t xml:space="preserve"> of the </w:t>
      </w:r>
      <w:r w:rsidR="002D155B" w:rsidRPr="002D155B">
        <w:rPr>
          <w:rFonts w:ascii="Calibri" w:hAnsi="Calibri" w:cs="Calibri"/>
        </w:rPr>
        <w:t>5</w:t>
      </w:r>
      <w:r w:rsidRPr="002D155B">
        <w:rPr>
          <w:rFonts w:ascii="Calibri" w:hAnsi="Calibri" w:cs="Calibri"/>
        </w:rPr>
        <w:t xml:space="preserve"> indicators</w:t>
      </w:r>
      <w:r w:rsidR="00905512">
        <w:rPr>
          <w:rFonts w:ascii="Calibri" w:hAnsi="Calibri" w:cs="Calibri"/>
        </w:rPr>
        <w:t>,</w:t>
      </w:r>
      <w:r w:rsidRPr="002D155B">
        <w:rPr>
          <w:rFonts w:ascii="Calibri" w:hAnsi="Calibri" w:cs="Calibri"/>
        </w:rPr>
        <w:t xml:space="preserve"> targets were met or excee</w:t>
      </w:r>
      <w:r w:rsidRPr="00BE4892">
        <w:rPr>
          <w:rFonts w:ascii="Calibri" w:hAnsi="Calibri" w:cs="Calibri"/>
        </w:rPr>
        <w:t>ded.</w:t>
      </w:r>
      <w:r w:rsidR="00EA0E6B" w:rsidRPr="00BE4892">
        <w:rPr>
          <w:rFonts w:ascii="Calibri" w:hAnsi="Calibri" w:cs="Calibri"/>
        </w:rPr>
        <w:t xml:space="preserve"> However, these calculations are based on revised targets after the </w:t>
      </w:r>
      <w:r w:rsidR="009132C2" w:rsidRPr="00BE4892">
        <w:rPr>
          <w:rFonts w:ascii="Calibri" w:hAnsi="Calibri" w:cs="Calibri"/>
        </w:rPr>
        <w:t>project was placed on hold indefinitely.</w:t>
      </w:r>
      <w:r w:rsidR="00DF1EDA" w:rsidRPr="00BE4892">
        <w:rPr>
          <w:rFonts w:ascii="Calibri" w:hAnsi="Calibri" w:cs="Calibri"/>
        </w:rPr>
        <w:t xml:space="preserve"> The original target was 943</w:t>
      </w:r>
      <w:r w:rsidR="00616791">
        <w:rPr>
          <w:rFonts w:ascii="Calibri" w:hAnsi="Calibri" w:cs="Calibri"/>
        </w:rPr>
        <w:t xml:space="preserve"> kilometers</w:t>
      </w:r>
      <w:r w:rsidR="00E055BE">
        <w:rPr>
          <w:rFonts w:ascii="Calibri" w:hAnsi="Calibri" w:cs="Calibri"/>
        </w:rPr>
        <w:t xml:space="preserve"> to be rehabilitated</w:t>
      </w:r>
      <w:r w:rsidR="00BE4892" w:rsidRPr="00BE4892">
        <w:rPr>
          <w:rFonts w:ascii="Calibri" w:hAnsi="Calibri" w:cs="Calibri"/>
        </w:rPr>
        <w:t>, so 2.6% of the original target was met</w:t>
      </w:r>
      <w:r w:rsidR="00823075">
        <w:rPr>
          <w:rFonts w:ascii="Calibri" w:hAnsi="Calibri" w:cs="Calibri"/>
        </w:rPr>
        <w:t xml:space="preserve"> before the project was placed on hold</w:t>
      </w:r>
      <w:r w:rsidR="00BE4892" w:rsidRPr="00BE4892">
        <w:rPr>
          <w:rFonts w:ascii="Calibri" w:hAnsi="Calibri" w:cs="Calibri"/>
        </w:rPr>
        <w:t xml:space="preserve">. </w:t>
      </w:r>
      <w:r w:rsidR="00343E87">
        <w:rPr>
          <w:rFonts w:ascii="Calibri" w:hAnsi="Calibri" w:cs="Calibri"/>
        </w:rPr>
        <w:t xml:space="preserve">Based on the </w:t>
      </w:r>
      <w:r w:rsidR="0079550C">
        <w:rPr>
          <w:rFonts w:ascii="Calibri" w:hAnsi="Calibri" w:cs="Calibri"/>
        </w:rPr>
        <w:t xml:space="preserve">subset of </w:t>
      </w:r>
      <w:r w:rsidR="00343E87">
        <w:rPr>
          <w:rFonts w:ascii="Calibri" w:hAnsi="Calibri" w:cs="Calibri"/>
        </w:rPr>
        <w:t>indicators presented here, t</w:t>
      </w:r>
      <w:r w:rsidR="00BF2CB6">
        <w:rPr>
          <w:rFonts w:ascii="Calibri" w:hAnsi="Calibri" w:cs="Calibri"/>
        </w:rPr>
        <w:t xml:space="preserve">he average completion rate of output and outcome targets for the World Bank Armenia road project </w:t>
      </w:r>
      <w:r w:rsidR="005C3AD7">
        <w:rPr>
          <w:rFonts w:ascii="Calibri" w:hAnsi="Calibri" w:cs="Calibri"/>
        </w:rPr>
        <w:t>is</w:t>
      </w:r>
      <w:r w:rsidR="00D03AF0">
        <w:rPr>
          <w:rFonts w:ascii="Calibri" w:hAnsi="Calibri" w:cs="Calibri"/>
        </w:rPr>
        <w:t xml:space="preserve"> </w:t>
      </w:r>
      <w:r w:rsidR="005C3AD7">
        <w:rPr>
          <w:rFonts w:ascii="Calibri" w:hAnsi="Calibri" w:cs="Calibri"/>
        </w:rPr>
        <w:t>159</w:t>
      </w:r>
      <w:r w:rsidR="00BF2CB6">
        <w:rPr>
          <w:rFonts w:ascii="Calibri" w:hAnsi="Calibri" w:cs="Calibri"/>
        </w:rPr>
        <w:t>%.</w:t>
      </w:r>
      <w:r w:rsidR="005C485F">
        <w:rPr>
          <w:rFonts w:ascii="Calibri" w:hAnsi="Calibri" w:cs="Calibri"/>
        </w:rPr>
        <w:t xml:space="preserve"> The World Bank also calculated an ex-post ERR of 18.1%, only slightly lower than the ex-ante ERR of 18.4%.</w:t>
      </w:r>
    </w:p>
    <w:p w14:paraId="58EF8365" w14:textId="77777777" w:rsidR="008D234E" w:rsidRPr="0021236D" w:rsidRDefault="008D234E" w:rsidP="0021236D">
      <w:pPr>
        <w:spacing w:after="0" w:line="240" w:lineRule="auto"/>
        <w:rPr>
          <w:rFonts w:ascii="Calibri" w:hAnsi="Calibri" w:cs="Calibri"/>
          <w:b/>
        </w:rPr>
      </w:pPr>
    </w:p>
    <w:p w14:paraId="7790A356" w14:textId="77777777" w:rsidR="005C350B" w:rsidRPr="0021236D" w:rsidRDefault="005C350B" w:rsidP="005C350B">
      <w:pPr>
        <w:spacing w:after="0" w:line="240" w:lineRule="auto"/>
        <w:rPr>
          <w:rFonts w:ascii="Calibri" w:hAnsi="Calibri" w:cs="Calibri"/>
          <w:b/>
        </w:rPr>
      </w:pPr>
      <w:r w:rsidRPr="0021236D">
        <w:rPr>
          <w:rFonts w:ascii="Calibri" w:hAnsi="Calibri" w:cs="Calibri"/>
          <w:b/>
        </w:rPr>
        <w:t>Evaluation Questions</w:t>
      </w:r>
    </w:p>
    <w:p w14:paraId="02D71ECB" w14:textId="77777777" w:rsidR="00534506" w:rsidRPr="00534506" w:rsidRDefault="00534506" w:rsidP="00534506">
      <w:pPr>
        <w:spacing w:after="0" w:line="240" w:lineRule="auto"/>
        <w:rPr>
          <w:rFonts w:ascii="Calibri" w:hAnsi="Calibri" w:cs="Calibri"/>
        </w:rPr>
      </w:pPr>
      <w:r>
        <w:rPr>
          <w:rFonts w:ascii="Calibri" w:hAnsi="Calibri" w:cs="Calibri"/>
        </w:rPr>
        <w:t xml:space="preserve">The evaluation of the </w:t>
      </w:r>
      <w:r w:rsidR="00E52852">
        <w:rPr>
          <w:rFonts w:ascii="Calibri" w:hAnsi="Calibri" w:cs="Calibri"/>
        </w:rPr>
        <w:t>RRRP</w:t>
      </w:r>
      <w:r>
        <w:rPr>
          <w:rFonts w:ascii="Calibri" w:hAnsi="Calibri" w:cs="Calibri"/>
        </w:rPr>
        <w:t xml:space="preserve"> aimed to answer </w:t>
      </w:r>
      <w:r w:rsidR="006B186D">
        <w:rPr>
          <w:rFonts w:ascii="Calibri" w:hAnsi="Calibri" w:cs="Calibri"/>
        </w:rPr>
        <w:t>the following evaluation questions</w:t>
      </w:r>
      <w:r w:rsidRPr="00534506">
        <w:rPr>
          <w:rFonts w:ascii="Calibri" w:hAnsi="Calibri" w:cs="Calibri"/>
        </w:rPr>
        <w:t>:</w:t>
      </w:r>
    </w:p>
    <w:p w14:paraId="11C511AA" w14:textId="77777777" w:rsidR="00A9086D" w:rsidRDefault="00A9086D" w:rsidP="005906CE">
      <w:pPr>
        <w:pStyle w:val="ListParagraph"/>
        <w:numPr>
          <w:ilvl w:val="0"/>
          <w:numId w:val="12"/>
        </w:numPr>
        <w:spacing w:after="0" w:line="240" w:lineRule="auto"/>
        <w:rPr>
          <w:rFonts w:ascii="Calibri" w:hAnsi="Calibri" w:cs="Calibri"/>
        </w:rPr>
      </w:pPr>
      <w:r w:rsidRPr="00A9086D">
        <w:rPr>
          <w:rFonts w:ascii="Calibri" w:hAnsi="Calibri" w:cs="Calibri"/>
        </w:rPr>
        <w:t>Did rehabilitating roa</w:t>
      </w:r>
      <w:r>
        <w:rPr>
          <w:rFonts w:ascii="Calibri" w:hAnsi="Calibri" w:cs="Calibri"/>
        </w:rPr>
        <w:t>ds affect the quality of roads?</w:t>
      </w:r>
    </w:p>
    <w:p w14:paraId="504357EA" w14:textId="77777777" w:rsidR="00A9086D" w:rsidRDefault="00A9086D" w:rsidP="005906CE">
      <w:pPr>
        <w:pStyle w:val="ListParagraph"/>
        <w:numPr>
          <w:ilvl w:val="0"/>
          <w:numId w:val="12"/>
        </w:numPr>
        <w:spacing w:after="0" w:line="240" w:lineRule="auto"/>
        <w:rPr>
          <w:rFonts w:ascii="Calibri" w:hAnsi="Calibri" w:cs="Calibri"/>
        </w:rPr>
      </w:pPr>
      <w:r w:rsidRPr="00A9086D">
        <w:rPr>
          <w:rFonts w:ascii="Calibri" w:hAnsi="Calibri" w:cs="Calibri"/>
        </w:rPr>
        <w:t xml:space="preserve">Did rehabilitating roads improve access to markets and social services? </w:t>
      </w:r>
    </w:p>
    <w:p w14:paraId="42907C7B" w14:textId="77777777" w:rsidR="00A9086D" w:rsidRDefault="00A9086D" w:rsidP="005906CE">
      <w:pPr>
        <w:pStyle w:val="ListParagraph"/>
        <w:numPr>
          <w:ilvl w:val="0"/>
          <w:numId w:val="12"/>
        </w:numPr>
        <w:spacing w:after="0" w:line="240" w:lineRule="auto"/>
        <w:rPr>
          <w:rFonts w:ascii="Calibri" w:hAnsi="Calibri" w:cs="Calibri"/>
        </w:rPr>
      </w:pPr>
      <w:r w:rsidRPr="00A9086D">
        <w:rPr>
          <w:rFonts w:ascii="Calibri" w:hAnsi="Calibri" w:cs="Calibri"/>
        </w:rPr>
        <w:t xml:space="preserve">Did rehabilitating roads </w:t>
      </w:r>
      <w:r>
        <w:rPr>
          <w:rFonts w:ascii="Calibri" w:hAnsi="Calibri" w:cs="Calibri"/>
        </w:rPr>
        <w:t>improve income from employment?</w:t>
      </w:r>
    </w:p>
    <w:p w14:paraId="3C0457AC" w14:textId="77777777" w:rsidR="00A9086D" w:rsidRDefault="00A9086D" w:rsidP="005906CE">
      <w:pPr>
        <w:pStyle w:val="ListParagraph"/>
        <w:numPr>
          <w:ilvl w:val="0"/>
          <w:numId w:val="12"/>
        </w:numPr>
        <w:spacing w:after="0" w:line="240" w:lineRule="auto"/>
        <w:rPr>
          <w:rFonts w:ascii="Calibri" w:hAnsi="Calibri" w:cs="Calibri"/>
        </w:rPr>
      </w:pPr>
      <w:r w:rsidRPr="00A9086D">
        <w:rPr>
          <w:rFonts w:ascii="Calibri" w:hAnsi="Calibri" w:cs="Calibri"/>
        </w:rPr>
        <w:t>Did rehabilitating roads affect agricultural productivity and profits, and if so, by how much?</w:t>
      </w:r>
    </w:p>
    <w:p w14:paraId="0DA424EC" w14:textId="77777777" w:rsidR="00534506" w:rsidRPr="00A9086D" w:rsidRDefault="00A9086D" w:rsidP="005906CE">
      <w:pPr>
        <w:pStyle w:val="ListParagraph"/>
        <w:numPr>
          <w:ilvl w:val="0"/>
          <w:numId w:val="12"/>
        </w:numPr>
        <w:spacing w:after="0" w:line="240" w:lineRule="auto"/>
        <w:rPr>
          <w:rFonts w:ascii="Calibri" w:hAnsi="Calibri" w:cs="Calibri"/>
        </w:rPr>
      </w:pPr>
      <w:r w:rsidRPr="00A9086D">
        <w:rPr>
          <w:rFonts w:ascii="Calibri" w:hAnsi="Calibri" w:cs="Calibri"/>
        </w:rPr>
        <w:t>Did rehabilitating roads improve household well-being for communities served by these roads, especially income and poverty?</w:t>
      </w:r>
    </w:p>
    <w:p w14:paraId="6D29377D" w14:textId="77777777" w:rsidR="005C350B" w:rsidRDefault="005C350B" w:rsidP="0021236D">
      <w:pPr>
        <w:spacing w:after="0" w:line="240" w:lineRule="auto"/>
        <w:rPr>
          <w:rFonts w:ascii="Calibri" w:hAnsi="Calibri" w:cs="Calibri"/>
          <w:b/>
        </w:rPr>
      </w:pPr>
    </w:p>
    <w:p w14:paraId="6142BABB" w14:textId="77777777" w:rsidR="0078519A" w:rsidRPr="0021236D" w:rsidRDefault="0078519A" w:rsidP="0021236D">
      <w:pPr>
        <w:spacing w:after="0" w:line="240" w:lineRule="auto"/>
        <w:rPr>
          <w:rFonts w:ascii="Calibri" w:hAnsi="Calibri" w:cs="Calibri"/>
          <w:b/>
        </w:rPr>
      </w:pPr>
      <w:r w:rsidRPr="0021236D">
        <w:rPr>
          <w:rFonts w:ascii="Calibri" w:hAnsi="Calibri" w:cs="Calibri"/>
          <w:b/>
        </w:rPr>
        <w:t>Evaluation Results</w:t>
      </w:r>
    </w:p>
    <w:p w14:paraId="58028FBE" w14:textId="0D8A4291" w:rsidR="0020624E" w:rsidRDefault="0025189B" w:rsidP="0021236D">
      <w:pPr>
        <w:spacing w:after="0" w:line="240" w:lineRule="auto"/>
        <w:rPr>
          <w:rFonts w:ascii="Calibri" w:hAnsi="Calibri" w:cs="Calibri"/>
        </w:rPr>
      </w:pPr>
      <w:r>
        <w:rPr>
          <w:rFonts w:ascii="Calibri" w:hAnsi="Calibri" w:cs="Calibri"/>
        </w:rPr>
        <w:t xml:space="preserve">The evaluation compares 27 road sections that were originally designed by the MCC Armenia program and then financed by the World Bank with </w:t>
      </w:r>
      <w:r w:rsidR="001723EC">
        <w:rPr>
          <w:rFonts w:ascii="Calibri" w:hAnsi="Calibri" w:cs="Calibri"/>
        </w:rPr>
        <w:t xml:space="preserve">28 </w:t>
      </w:r>
      <w:r>
        <w:rPr>
          <w:rFonts w:ascii="Calibri" w:hAnsi="Calibri" w:cs="Calibri"/>
        </w:rPr>
        <w:t xml:space="preserve">road sections that were originally included in the MCC Armenia program, but never rehabilitated. </w:t>
      </w:r>
      <w:r w:rsidR="00817ED3">
        <w:rPr>
          <w:rFonts w:ascii="Calibri" w:hAnsi="Calibri" w:cs="Calibri"/>
        </w:rPr>
        <w:t xml:space="preserve">The </w:t>
      </w:r>
      <w:r w:rsidR="00011C59" w:rsidRPr="00011C59">
        <w:rPr>
          <w:rFonts w:ascii="Calibri" w:hAnsi="Calibri" w:cs="Calibri"/>
        </w:rPr>
        <w:t>findings</w:t>
      </w:r>
      <w:r w:rsidR="00817ED3">
        <w:rPr>
          <w:rFonts w:ascii="Calibri" w:hAnsi="Calibri" w:cs="Calibri"/>
        </w:rPr>
        <w:t xml:space="preserve"> imply </w:t>
      </w:r>
      <w:r w:rsidR="00011C59" w:rsidRPr="00011C59">
        <w:rPr>
          <w:rFonts w:ascii="Calibri" w:hAnsi="Calibri" w:cs="Calibri"/>
        </w:rPr>
        <w:t xml:space="preserve">that road rehabilitation efforts </w:t>
      </w:r>
      <w:r w:rsidR="00F53968">
        <w:rPr>
          <w:rFonts w:ascii="Calibri" w:hAnsi="Calibri" w:cs="Calibri"/>
        </w:rPr>
        <w:t xml:space="preserve">can </w:t>
      </w:r>
      <w:r w:rsidR="00676723">
        <w:rPr>
          <w:rFonts w:ascii="Calibri" w:hAnsi="Calibri" w:cs="Calibri"/>
        </w:rPr>
        <w:lastRenderedPageBreak/>
        <w:t xml:space="preserve">improve road quality and </w:t>
      </w:r>
      <w:r w:rsidR="00A42C0E">
        <w:rPr>
          <w:rFonts w:ascii="Calibri" w:hAnsi="Calibri" w:cs="Calibri"/>
        </w:rPr>
        <w:t>increase the</w:t>
      </w:r>
      <w:r w:rsidR="004C5351">
        <w:rPr>
          <w:rFonts w:ascii="Calibri" w:hAnsi="Calibri" w:cs="Calibri"/>
        </w:rPr>
        <w:t xml:space="preserve"> </w:t>
      </w:r>
      <w:r w:rsidR="00011C59" w:rsidRPr="00011C59">
        <w:rPr>
          <w:rFonts w:ascii="Calibri" w:hAnsi="Calibri" w:cs="Calibri"/>
        </w:rPr>
        <w:t xml:space="preserve">use of </w:t>
      </w:r>
      <w:r w:rsidR="00A42C0E">
        <w:rPr>
          <w:rFonts w:ascii="Calibri" w:hAnsi="Calibri" w:cs="Calibri"/>
        </w:rPr>
        <w:t xml:space="preserve">roads </w:t>
      </w:r>
      <w:r w:rsidR="00011C59" w:rsidRPr="00011C59">
        <w:rPr>
          <w:rFonts w:ascii="Calibri" w:hAnsi="Calibri" w:cs="Calibri"/>
        </w:rPr>
        <w:t xml:space="preserve">in the short term, but </w:t>
      </w:r>
      <w:r w:rsidR="00F53968">
        <w:rPr>
          <w:rFonts w:ascii="Calibri" w:hAnsi="Calibri" w:cs="Calibri"/>
        </w:rPr>
        <w:t xml:space="preserve">that </w:t>
      </w:r>
      <w:r w:rsidR="00011C59" w:rsidRPr="00011C59">
        <w:rPr>
          <w:rFonts w:ascii="Calibri" w:hAnsi="Calibri" w:cs="Calibri"/>
        </w:rPr>
        <w:t xml:space="preserve">they </w:t>
      </w:r>
      <w:r w:rsidR="00676723">
        <w:rPr>
          <w:rFonts w:ascii="Calibri" w:hAnsi="Calibri" w:cs="Calibri"/>
        </w:rPr>
        <w:t>may</w:t>
      </w:r>
      <w:r w:rsidR="00011C59" w:rsidRPr="00011C59">
        <w:rPr>
          <w:rFonts w:ascii="Calibri" w:hAnsi="Calibri" w:cs="Calibri"/>
        </w:rPr>
        <w:t xml:space="preserve"> not </w:t>
      </w:r>
      <w:r w:rsidR="00676723">
        <w:rPr>
          <w:rFonts w:ascii="Calibri" w:hAnsi="Calibri" w:cs="Calibri"/>
        </w:rPr>
        <w:t xml:space="preserve">be </w:t>
      </w:r>
      <w:r w:rsidR="00011C59" w:rsidRPr="00011C59">
        <w:rPr>
          <w:rFonts w:ascii="Calibri" w:hAnsi="Calibri" w:cs="Calibri"/>
        </w:rPr>
        <w:t xml:space="preserve">sufficient to stimulate </w:t>
      </w:r>
      <w:r w:rsidR="00F53968">
        <w:rPr>
          <w:rFonts w:ascii="Calibri" w:hAnsi="Calibri" w:cs="Calibri"/>
        </w:rPr>
        <w:t xml:space="preserve">increases in </w:t>
      </w:r>
      <w:r w:rsidR="00011C59" w:rsidRPr="00011C59">
        <w:rPr>
          <w:rFonts w:ascii="Calibri" w:hAnsi="Calibri" w:cs="Calibri"/>
        </w:rPr>
        <w:t>agricultural production and sales in a time frame of one to two years.</w:t>
      </w:r>
    </w:p>
    <w:p w14:paraId="755156DE" w14:textId="77777777" w:rsidR="004E5400" w:rsidRPr="0021236D" w:rsidRDefault="004E5400" w:rsidP="0021236D">
      <w:pPr>
        <w:spacing w:after="0" w:line="240" w:lineRule="auto"/>
        <w:rPr>
          <w:rFonts w:ascii="Calibri" w:hAnsi="Calibri" w:cs="Calibri"/>
        </w:rPr>
      </w:pPr>
    </w:p>
    <w:tbl>
      <w:tblPr>
        <w:tblStyle w:val="MediumShading1-Accent1"/>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6749"/>
      </w:tblGrid>
      <w:tr w:rsidR="0020624E" w:rsidRPr="0021236D" w14:paraId="2C8B75A6" w14:textId="77777777" w:rsidTr="002A71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17"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C7E8399" w14:textId="77777777" w:rsidR="0020624E" w:rsidRPr="0021236D" w:rsidRDefault="0020624E" w:rsidP="0021236D">
            <w:pPr>
              <w:rPr>
                <w:rFonts w:ascii="Calibri" w:hAnsi="Calibri" w:cs="Calibri"/>
                <w:color w:val="auto"/>
              </w:rPr>
            </w:pPr>
          </w:p>
        </w:tc>
      </w:tr>
      <w:tr w:rsidR="0020624E" w:rsidRPr="0021236D" w14:paraId="781792A4" w14:textId="77777777" w:rsidTr="002A71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single" w:sz="4" w:space="0" w:color="auto"/>
            </w:tcBorders>
            <w:shd w:val="clear" w:color="auto" w:fill="FFFFFF" w:themeFill="background1"/>
          </w:tcPr>
          <w:p w14:paraId="7D2D3ED0" w14:textId="77777777" w:rsidR="0020624E" w:rsidRPr="0021236D" w:rsidRDefault="002A710F" w:rsidP="0021236D">
            <w:pPr>
              <w:rPr>
                <w:rFonts w:ascii="Calibri" w:hAnsi="Calibri" w:cs="Calibri"/>
              </w:rPr>
            </w:pPr>
            <w:r>
              <w:rPr>
                <w:rFonts w:ascii="Calibri" w:hAnsi="Calibri" w:cs="Calibri"/>
              </w:rPr>
              <w:t>Evaluator</w:t>
            </w:r>
            <w:r w:rsidR="0020624E" w:rsidRPr="0021236D">
              <w:rPr>
                <w:rFonts w:ascii="Calibri" w:hAnsi="Calibri" w:cs="Calibri"/>
              </w:rPr>
              <w:tab/>
            </w:r>
          </w:p>
        </w:tc>
        <w:tc>
          <w:tcPr>
            <w:tcW w:w="6749" w:type="dxa"/>
            <w:tcBorders>
              <w:left w:val="single" w:sz="4" w:space="0" w:color="auto"/>
            </w:tcBorders>
            <w:shd w:val="clear" w:color="auto" w:fill="FFFFFF" w:themeFill="background1"/>
          </w:tcPr>
          <w:p w14:paraId="4BCFA5C7" w14:textId="77777777" w:rsidR="0020624E" w:rsidRPr="0021236D" w:rsidRDefault="0076336E" w:rsidP="0021236D">
            <w:pPr>
              <w:cnfStyle w:val="000000100000" w:firstRow="0" w:lastRow="0" w:firstColumn="0" w:lastColumn="0" w:oddVBand="0" w:evenVBand="0" w:oddHBand="1" w:evenHBand="0" w:firstRowFirstColumn="0" w:firstRowLastColumn="0" w:lastRowFirstColumn="0" w:lastRowLastColumn="0"/>
              <w:rPr>
                <w:rFonts w:ascii="Calibri" w:hAnsi="Calibri" w:cs="Calibri"/>
              </w:rPr>
            </w:pPr>
            <w:proofErr w:type="spellStart"/>
            <w:r>
              <w:rPr>
                <w:rFonts w:ascii="Calibri" w:hAnsi="Calibri" w:cs="Calibri"/>
              </w:rPr>
              <w:t>Mathematica</w:t>
            </w:r>
            <w:proofErr w:type="spellEnd"/>
            <w:r>
              <w:rPr>
                <w:rFonts w:ascii="Calibri" w:hAnsi="Calibri" w:cs="Calibri"/>
              </w:rPr>
              <w:t xml:space="preserve"> Policy Research</w:t>
            </w:r>
          </w:p>
        </w:tc>
      </w:tr>
      <w:tr w:rsidR="00C03A45" w:rsidRPr="0021236D" w14:paraId="6EB5C09E" w14:textId="77777777" w:rsidTr="00C03A4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single" w:sz="4" w:space="0" w:color="auto"/>
            </w:tcBorders>
            <w:shd w:val="clear" w:color="auto" w:fill="FFFFFF" w:themeFill="background1"/>
          </w:tcPr>
          <w:p w14:paraId="3B618521" w14:textId="77777777" w:rsidR="00C03A45" w:rsidRPr="0021236D" w:rsidRDefault="00C03A45" w:rsidP="0021236D">
            <w:pPr>
              <w:rPr>
                <w:rFonts w:ascii="Calibri" w:hAnsi="Calibri" w:cs="Calibri"/>
              </w:rPr>
            </w:pPr>
            <w:r>
              <w:rPr>
                <w:rFonts w:ascii="Calibri" w:hAnsi="Calibri" w:cs="Calibri"/>
              </w:rPr>
              <w:t>Evaluation Type</w:t>
            </w:r>
          </w:p>
        </w:tc>
        <w:tc>
          <w:tcPr>
            <w:tcW w:w="6749" w:type="dxa"/>
            <w:tcBorders>
              <w:left w:val="single" w:sz="4" w:space="0" w:color="auto"/>
            </w:tcBorders>
            <w:shd w:val="clear" w:color="auto" w:fill="FFFFFF" w:themeFill="background1"/>
          </w:tcPr>
          <w:p w14:paraId="273D1E07" w14:textId="77777777" w:rsidR="00C03A45" w:rsidRPr="0021236D" w:rsidRDefault="00C03A45" w:rsidP="0021236D">
            <w:p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Impact</w:t>
            </w:r>
          </w:p>
        </w:tc>
      </w:tr>
      <w:tr w:rsidR="0020624E" w:rsidRPr="0021236D" w14:paraId="0E62798E" w14:textId="77777777" w:rsidTr="002A71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4DAB5194" w14:textId="77777777" w:rsidR="0020624E" w:rsidRPr="0021236D" w:rsidRDefault="0020624E" w:rsidP="0021236D">
            <w:pPr>
              <w:rPr>
                <w:rFonts w:ascii="Calibri" w:hAnsi="Calibri" w:cs="Calibri"/>
              </w:rPr>
            </w:pPr>
            <w:r w:rsidRPr="0021236D">
              <w:rPr>
                <w:rFonts w:ascii="Calibri" w:hAnsi="Calibri" w:cs="Calibri"/>
              </w:rPr>
              <w:t>Methodology</w:t>
            </w:r>
            <w:r w:rsidRPr="0021236D">
              <w:rPr>
                <w:rFonts w:ascii="Calibri" w:hAnsi="Calibri" w:cs="Calibri"/>
              </w:rPr>
              <w:tab/>
            </w:r>
          </w:p>
        </w:tc>
        <w:tc>
          <w:tcPr>
            <w:tcW w:w="6749" w:type="dxa"/>
            <w:tcBorders>
              <w:left w:val="none" w:sz="0" w:space="0" w:color="auto"/>
            </w:tcBorders>
            <w:shd w:val="clear" w:color="auto" w:fill="FFFFFF" w:themeFill="background1"/>
          </w:tcPr>
          <w:p w14:paraId="40656F0F" w14:textId="77777777" w:rsidR="0020624E" w:rsidRPr="00F9538A" w:rsidRDefault="0095756A" w:rsidP="00704115">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D</w:t>
            </w:r>
            <w:r w:rsidR="00704115" w:rsidRPr="00F9538A">
              <w:rPr>
                <w:rFonts w:ascii="Calibri" w:hAnsi="Calibri" w:cs="Calibri"/>
              </w:rPr>
              <w:t>ifference-in-</w:t>
            </w:r>
            <w:r w:rsidR="00F77EF0" w:rsidRPr="00F9538A">
              <w:rPr>
                <w:rFonts w:ascii="Calibri" w:hAnsi="Calibri" w:cs="Calibri"/>
              </w:rPr>
              <w:t>differe</w:t>
            </w:r>
            <w:r w:rsidR="00704115" w:rsidRPr="00F9538A">
              <w:rPr>
                <w:rFonts w:ascii="Calibri" w:hAnsi="Calibri" w:cs="Calibri"/>
              </w:rPr>
              <w:t>n</w:t>
            </w:r>
            <w:r w:rsidR="00F77EF0" w:rsidRPr="00F9538A">
              <w:rPr>
                <w:rFonts w:ascii="Calibri" w:hAnsi="Calibri" w:cs="Calibri"/>
              </w:rPr>
              <w:t>ce</w:t>
            </w:r>
            <w:r w:rsidR="00A57A02">
              <w:rPr>
                <w:rFonts w:ascii="Calibri" w:hAnsi="Calibri" w:cs="Calibri"/>
              </w:rPr>
              <w:t>s</w:t>
            </w:r>
          </w:p>
        </w:tc>
      </w:tr>
      <w:tr w:rsidR="0020624E" w:rsidRPr="0021236D" w14:paraId="03749D17" w14:textId="77777777" w:rsidTr="002A710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72DDEDA9" w14:textId="77777777" w:rsidR="0020624E" w:rsidRPr="0021236D" w:rsidRDefault="00C03A45" w:rsidP="0021236D">
            <w:pPr>
              <w:rPr>
                <w:rFonts w:ascii="Calibri" w:hAnsi="Calibri" w:cs="Calibri"/>
              </w:rPr>
            </w:pPr>
            <w:r>
              <w:rPr>
                <w:rFonts w:ascii="Calibri" w:hAnsi="Calibri" w:cs="Calibri"/>
              </w:rPr>
              <w:t>Exposure</w:t>
            </w:r>
            <w:r w:rsidR="0020624E" w:rsidRPr="0021236D">
              <w:rPr>
                <w:rFonts w:ascii="Calibri" w:hAnsi="Calibri" w:cs="Calibri"/>
              </w:rPr>
              <w:t xml:space="preserve"> Period</w:t>
            </w:r>
          </w:p>
        </w:tc>
        <w:tc>
          <w:tcPr>
            <w:tcW w:w="6749" w:type="dxa"/>
            <w:tcBorders>
              <w:left w:val="none" w:sz="0" w:space="0" w:color="auto"/>
            </w:tcBorders>
            <w:shd w:val="clear" w:color="auto" w:fill="FFFFFF" w:themeFill="background1"/>
          </w:tcPr>
          <w:p w14:paraId="46F36B9F" w14:textId="77777777" w:rsidR="0020624E" w:rsidRPr="00F9538A" w:rsidRDefault="009F3ACD" w:rsidP="009F3ACD">
            <w:pPr>
              <w:cnfStyle w:val="000000010000" w:firstRow="0" w:lastRow="0" w:firstColumn="0" w:lastColumn="0" w:oddVBand="0" w:evenVBand="0" w:oddHBand="0" w:evenHBand="1" w:firstRowFirstColumn="0" w:firstRowLastColumn="0" w:lastRowFirstColumn="0" w:lastRowLastColumn="0"/>
              <w:rPr>
                <w:rFonts w:ascii="Calibri" w:hAnsi="Calibri" w:cs="Calibri"/>
              </w:rPr>
            </w:pPr>
            <w:r w:rsidRPr="00F9538A">
              <w:rPr>
                <w:rFonts w:ascii="Calibri" w:hAnsi="Calibri" w:cs="Calibri"/>
              </w:rPr>
              <w:t xml:space="preserve">2007 and </w:t>
            </w:r>
            <w:r w:rsidR="005E02B3" w:rsidRPr="00F9538A">
              <w:rPr>
                <w:rFonts w:ascii="Calibri" w:hAnsi="Calibri" w:cs="Calibri"/>
              </w:rPr>
              <w:t>2008 (Baseline); 2011 (</w:t>
            </w:r>
            <w:proofErr w:type="spellStart"/>
            <w:r w:rsidR="005E02B3" w:rsidRPr="00F9538A">
              <w:rPr>
                <w:rFonts w:ascii="Calibri" w:hAnsi="Calibri" w:cs="Calibri"/>
              </w:rPr>
              <w:t>Endline</w:t>
            </w:r>
            <w:proofErr w:type="spellEnd"/>
            <w:r w:rsidR="005E02B3" w:rsidRPr="00F9538A">
              <w:rPr>
                <w:rFonts w:ascii="Calibri" w:hAnsi="Calibri" w:cs="Calibri"/>
              </w:rPr>
              <w:t>). Most roads were completed in 2009-2010</w:t>
            </w:r>
            <w:r w:rsidR="000C041D">
              <w:rPr>
                <w:rFonts w:ascii="Calibri" w:hAnsi="Calibri" w:cs="Calibri"/>
              </w:rPr>
              <w:t xml:space="preserve"> for an exposure period of 1 to 2 years after rehabilitation</w:t>
            </w:r>
            <w:r w:rsidR="00CF133F">
              <w:rPr>
                <w:rFonts w:ascii="Calibri" w:hAnsi="Calibri" w:cs="Calibri"/>
              </w:rPr>
              <w:t>.</w:t>
            </w:r>
          </w:p>
        </w:tc>
      </w:tr>
      <w:tr w:rsidR="0020624E" w:rsidRPr="0021236D" w14:paraId="0A10B6FF" w14:textId="77777777" w:rsidTr="0082607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bottom w:val="single" w:sz="4" w:space="0" w:color="auto"/>
              <w:right w:val="none" w:sz="0" w:space="0" w:color="auto"/>
            </w:tcBorders>
            <w:shd w:val="clear" w:color="auto" w:fill="FFFFFF" w:themeFill="background1"/>
          </w:tcPr>
          <w:p w14:paraId="2BBB252B" w14:textId="77777777" w:rsidR="0020624E" w:rsidRPr="0021236D" w:rsidRDefault="00154FA8" w:rsidP="0021236D">
            <w:pPr>
              <w:rPr>
                <w:rFonts w:ascii="Calibri" w:hAnsi="Calibri" w:cs="Calibri"/>
              </w:rPr>
            </w:pPr>
            <w:r>
              <w:rPr>
                <w:rFonts w:ascii="Calibri" w:hAnsi="Calibri" w:cs="Calibri"/>
              </w:rPr>
              <w:t>Immediate</w:t>
            </w:r>
            <w:r w:rsidR="002A710F">
              <w:rPr>
                <w:rFonts w:ascii="Calibri" w:hAnsi="Calibri" w:cs="Calibri"/>
              </w:rPr>
              <w:t xml:space="preserve"> Outcome</w:t>
            </w:r>
            <w:r w:rsidR="00636ECE">
              <w:rPr>
                <w:rFonts w:ascii="Calibri" w:hAnsi="Calibri" w:cs="Calibri"/>
              </w:rPr>
              <w:t>s</w:t>
            </w:r>
          </w:p>
        </w:tc>
        <w:tc>
          <w:tcPr>
            <w:tcW w:w="6749" w:type="dxa"/>
            <w:tcBorders>
              <w:left w:val="none" w:sz="0" w:space="0" w:color="auto"/>
            </w:tcBorders>
            <w:shd w:val="clear" w:color="auto" w:fill="FFFFFF" w:themeFill="background1"/>
          </w:tcPr>
          <w:p w14:paraId="458DA3BC" w14:textId="77777777" w:rsidR="0020624E" w:rsidRDefault="00B0007A" w:rsidP="00636ECE">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 xml:space="preserve">Improved road quality – </w:t>
            </w:r>
            <w:r w:rsidR="00E03E34">
              <w:rPr>
                <w:rFonts w:ascii="Calibri" w:hAnsi="Calibri" w:cs="Calibri"/>
              </w:rPr>
              <w:t>39</w:t>
            </w:r>
            <w:r w:rsidR="00460E37" w:rsidRPr="00460E37">
              <w:rPr>
                <w:rFonts w:ascii="Calibri" w:hAnsi="Calibri" w:cs="Calibri"/>
              </w:rPr>
              <w:t xml:space="preserve"> percentage point increase in favora</w:t>
            </w:r>
            <w:r w:rsidR="00460E37">
              <w:rPr>
                <w:rFonts w:ascii="Calibri" w:hAnsi="Calibri" w:cs="Calibri"/>
              </w:rPr>
              <w:t>bility rating of regional roads</w:t>
            </w:r>
          </w:p>
          <w:p w14:paraId="65CF3737" w14:textId="10E20DA4" w:rsidR="00AB71D6" w:rsidRDefault="00AB71D6" w:rsidP="00636ECE">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E</w:t>
            </w:r>
            <w:r w:rsidRPr="00AB71D6">
              <w:rPr>
                <w:rFonts w:ascii="Calibri" w:hAnsi="Calibri" w:cs="Calibri"/>
              </w:rPr>
              <w:t>mployment linked to construction</w:t>
            </w:r>
            <w:r>
              <w:rPr>
                <w:rFonts w:ascii="Calibri" w:hAnsi="Calibri" w:cs="Calibri"/>
              </w:rPr>
              <w:t xml:space="preserve"> – </w:t>
            </w:r>
            <w:r w:rsidR="00F35F74">
              <w:rPr>
                <w:rFonts w:ascii="Calibri" w:hAnsi="Calibri" w:cs="Calibri"/>
              </w:rPr>
              <w:t>inconclusive</w:t>
            </w:r>
            <w:r w:rsidR="00E94B36">
              <w:rPr>
                <w:rStyle w:val="FootnoteReference"/>
                <w:rFonts w:ascii="Calibri" w:hAnsi="Calibri" w:cs="Calibri"/>
              </w:rPr>
              <w:footnoteReference w:id="2"/>
            </w:r>
          </w:p>
          <w:p w14:paraId="5986239A" w14:textId="77777777" w:rsidR="003B2F68" w:rsidRPr="002A710F" w:rsidRDefault="009E78F5" w:rsidP="00B71DBB">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Reduced travel time – strong indirect evidence of large impacts</w:t>
            </w:r>
          </w:p>
        </w:tc>
      </w:tr>
      <w:tr w:rsidR="00826070" w:rsidRPr="0021236D" w14:paraId="2A77A15A" w14:textId="77777777" w:rsidTr="00826070">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single" w:sz="4" w:space="0" w:color="auto"/>
            </w:tcBorders>
            <w:shd w:val="clear" w:color="auto" w:fill="FFFFFF" w:themeFill="background1"/>
          </w:tcPr>
          <w:p w14:paraId="3E490544" w14:textId="77777777" w:rsidR="00826070" w:rsidRDefault="00826070" w:rsidP="0021236D">
            <w:pPr>
              <w:rPr>
                <w:rFonts w:ascii="Calibri" w:hAnsi="Calibri" w:cs="Calibri"/>
              </w:rPr>
            </w:pPr>
            <w:r>
              <w:rPr>
                <w:rFonts w:ascii="Calibri" w:hAnsi="Calibri" w:cs="Calibri"/>
              </w:rPr>
              <w:t>Short term</w:t>
            </w:r>
            <w:r w:rsidR="00D9731E">
              <w:rPr>
                <w:rFonts w:ascii="Calibri" w:hAnsi="Calibri" w:cs="Calibri"/>
              </w:rPr>
              <w:t xml:space="preserve"> Outcomes</w:t>
            </w:r>
          </w:p>
        </w:tc>
        <w:tc>
          <w:tcPr>
            <w:tcW w:w="6749" w:type="dxa"/>
            <w:tcBorders>
              <w:left w:val="single" w:sz="4" w:space="0" w:color="auto"/>
            </w:tcBorders>
            <w:shd w:val="clear" w:color="auto" w:fill="FFFFFF" w:themeFill="background1"/>
          </w:tcPr>
          <w:p w14:paraId="125BD720" w14:textId="77777777" w:rsidR="00E91608" w:rsidRDefault="00E91608" w:rsidP="00E91608">
            <w:p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 xml:space="preserve">Improved access to markets – </w:t>
            </w:r>
            <w:r w:rsidRPr="002D54B7">
              <w:rPr>
                <w:rFonts w:ascii="Calibri" w:hAnsi="Calibri" w:cs="Calibri"/>
              </w:rPr>
              <w:t>20 percentage point decreas</w:t>
            </w:r>
            <w:r>
              <w:rPr>
                <w:rFonts w:ascii="Calibri" w:hAnsi="Calibri" w:cs="Calibri"/>
              </w:rPr>
              <w:t>e in market access difficulties</w:t>
            </w:r>
          </w:p>
          <w:p w14:paraId="68589CCC" w14:textId="77777777" w:rsidR="00826070" w:rsidRDefault="00E91608" w:rsidP="00E91608">
            <w:p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Improved access to social services – no evidence of impacts</w:t>
            </w:r>
          </w:p>
          <w:p w14:paraId="2A842477" w14:textId="77777777" w:rsidR="00E91608" w:rsidRDefault="00E91608" w:rsidP="00E91608">
            <w:p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 xml:space="preserve">Increased vehicular activity – </w:t>
            </w:r>
            <w:r w:rsidRPr="00214B64">
              <w:rPr>
                <w:rFonts w:ascii="Calibri" w:hAnsi="Calibri" w:cs="Calibri"/>
              </w:rPr>
              <w:t>1</w:t>
            </w:r>
            <w:r>
              <w:rPr>
                <w:rFonts w:ascii="Calibri" w:hAnsi="Calibri" w:cs="Calibri"/>
              </w:rPr>
              <w:t>7</w:t>
            </w:r>
            <w:r w:rsidRPr="00214B64">
              <w:rPr>
                <w:rFonts w:ascii="Calibri" w:hAnsi="Calibri" w:cs="Calibri"/>
              </w:rPr>
              <w:t xml:space="preserve"> percentage point increase in use of r</w:t>
            </w:r>
            <w:r>
              <w:rPr>
                <w:rFonts w:ascii="Calibri" w:hAnsi="Calibri" w:cs="Calibri"/>
              </w:rPr>
              <w:t>oads for noncommercial purposes</w:t>
            </w:r>
          </w:p>
        </w:tc>
      </w:tr>
      <w:tr w:rsidR="006555A9" w:rsidRPr="0021236D" w14:paraId="05F728C6" w14:textId="77777777" w:rsidTr="00551C4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4A75D568" w14:textId="77777777" w:rsidR="006555A9" w:rsidRPr="0021236D" w:rsidRDefault="00826070" w:rsidP="00551C46">
            <w:pPr>
              <w:rPr>
                <w:rFonts w:ascii="Calibri" w:hAnsi="Calibri" w:cs="Calibri"/>
              </w:rPr>
            </w:pPr>
            <w:r>
              <w:rPr>
                <w:rFonts w:ascii="Calibri" w:hAnsi="Calibri" w:cs="Calibri"/>
              </w:rPr>
              <w:t>Medium term</w:t>
            </w:r>
            <w:r w:rsidR="006555A9">
              <w:rPr>
                <w:rFonts w:ascii="Calibri" w:hAnsi="Calibri" w:cs="Calibri"/>
              </w:rPr>
              <w:t xml:space="preserve"> Outcomes</w:t>
            </w:r>
          </w:p>
        </w:tc>
        <w:tc>
          <w:tcPr>
            <w:tcW w:w="6749" w:type="dxa"/>
            <w:tcBorders>
              <w:left w:val="none" w:sz="0" w:space="0" w:color="auto"/>
            </w:tcBorders>
            <w:shd w:val="clear" w:color="auto" w:fill="FFFFFF" w:themeFill="background1"/>
          </w:tcPr>
          <w:p w14:paraId="2588DD36" w14:textId="77777777" w:rsidR="006555A9" w:rsidRDefault="0008143B" w:rsidP="00551C46">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Investment – l</w:t>
            </w:r>
            <w:r w:rsidRPr="0008143B">
              <w:rPr>
                <w:rFonts w:ascii="Calibri" w:hAnsi="Calibri" w:cs="Calibri"/>
              </w:rPr>
              <w:t>imited evidence of small impacts</w:t>
            </w:r>
          </w:p>
          <w:p w14:paraId="0E9B1FB6" w14:textId="77777777" w:rsidR="0008143B" w:rsidRDefault="0008143B" w:rsidP="00551C46">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Employment – no evidence</w:t>
            </w:r>
            <w:r w:rsidR="00846ACB">
              <w:rPr>
                <w:rFonts w:ascii="Calibri" w:hAnsi="Calibri" w:cs="Calibri"/>
              </w:rPr>
              <w:t xml:space="preserve"> of impact</w:t>
            </w:r>
            <w:r w:rsidR="006A6E2D">
              <w:rPr>
                <w:rFonts w:ascii="Calibri" w:hAnsi="Calibri" w:cs="Calibri"/>
              </w:rPr>
              <w:t>s</w:t>
            </w:r>
          </w:p>
          <w:p w14:paraId="701C3A58" w14:textId="77777777" w:rsidR="0008143B" w:rsidRPr="002A710F" w:rsidRDefault="00846ACB" w:rsidP="000B7935">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 xml:space="preserve">Production – </w:t>
            </w:r>
            <w:r w:rsidR="000B7935">
              <w:rPr>
                <w:rFonts w:ascii="Calibri" w:hAnsi="Calibri" w:cs="Calibri"/>
              </w:rPr>
              <w:t>l</w:t>
            </w:r>
            <w:r w:rsidRPr="00846ACB">
              <w:rPr>
                <w:rFonts w:ascii="Calibri" w:hAnsi="Calibri" w:cs="Calibri"/>
              </w:rPr>
              <w:t>imited evidence that may be anomalous</w:t>
            </w:r>
          </w:p>
        </w:tc>
      </w:tr>
      <w:tr w:rsidR="0020624E" w:rsidRPr="0021236D" w14:paraId="1AE6C23D" w14:textId="77777777" w:rsidTr="002A710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75E3EF7F" w14:textId="77777777" w:rsidR="0020624E" w:rsidRPr="0021236D" w:rsidRDefault="00D9731E" w:rsidP="0021236D">
            <w:pPr>
              <w:rPr>
                <w:rFonts w:ascii="Calibri" w:hAnsi="Calibri" w:cs="Calibri"/>
              </w:rPr>
            </w:pPr>
            <w:r>
              <w:rPr>
                <w:rFonts w:ascii="Calibri" w:hAnsi="Calibri" w:cs="Calibri"/>
              </w:rPr>
              <w:t>Long term Outcomes</w:t>
            </w:r>
          </w:p>
        </w:tc>
        <w:tc>
          <w:tcPr>
            <w:tcW w:w="6749" w:type="dxa"/>
            <w:tcBorders>
              <w:left w:val="none" w:sz="0" w:space="0" w:color="auto"/>
            </w:tcBorders>
            <w:shd w:val="clear" w:color="auto" w:fill="FFFFFF" w:themeFill="background1"/>
          </w:tcPr>
          <w:p w14:paraId="4467C47C" w14:textId="77777777" w:rsidR="0020624E" w:rsidRDefault="00DB18A1" w:rsidP="002A710F">
            <w:p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 xml:space="preserve">Household income – </w:t>
            </w:r>
            <w:r w:rsidR="0014313B">
              <w:rPr>
                <w:rFonts w:ascii="Calibri" w:hAnsi="Calibri" w:cs="Calibri"/>
              </w:rPr>
              <w:t>no evidence of impact</w:t>
            </w:r>
            <w:r w:rsidR="006A6E2D">
              <w:rPr>
                <w:rFonts w:ascii="Calibri" w:hAnsi="Calibri" w:cs="Calibri"/>
              </w:rPr>
              <w:t>s</w:t>
            </w:r>
          </w:p>
          <w:p w14:paraId="5BE9B1DF" w14:textId="77777777" w:rsidR="00DB18A1" w:rsidRDefault="00DB18A1" w:rsidP="002A710F">
            <w:p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 xml:space="preserve">Household consumption – </w:t>
            </w:r>
            <w:r w:rsidR="0014313B">
              <w:rPr>
                <w:rFonts w:ascii="Calibri" w:hAnsi="Calibri" w:cs="Calibri"/>
              </w:rPr>
              <w:t>no evidence of impact</w:t>
            </w:r>
            <w:r w:rsidR="006A6E2D">
              <w:rPr>
                <w:rFonts w:ascii="Calibri" w:hAnsi="Calibri" w:cs="Calibri"/>
              </w:rPr>
              <w:t>s</w:t>
            </w:r>
          </w:p>
          <w:p w14:paraId="2F599646" w14:textId="77777777" w:rsidR="00DB18A1" w:rsidRPr="002A710F" w:rsidRDefault="00DB18A1" w:rsidP="002A710F">
            <w:p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 xml:space="preserve">Rural poverty – </w:t>
            </w:r>
            <w:r w:rsidR="007C6DBC">
              <w:rPr>
                <w:rFonts w:ascii="Calibri" w:hAnsi="Calibri" w:cs="Calibri"/>
              </w:rPr>
              <w:t>s</w:t>
            </w:r>
            <w:r w:rsidR="007C6DBC" w:rsidRPr="007C6DBC">
              <w:rPr>
                <w:rFonts w:ascii="Calibri" w:hAnsi="Calibri" w:cs="Calibri"/>
              </w:rPr>
              <w:t>ome evidence of increase in rural poverty; likely an anomaly due to sample composition</w:t>
            </w:r>
          </w:p>
        </w:tc>
      </w:tr>
    </w:tbl>
    <w:p w14:paraId="21B66A97" w14:textId="77777777" w:rsidR="002A710F" w:rsidRDefault="002A710F" w:rsidP="0021236D">
      <w:pPr>
        <w:spacing w:after="0" w:line="240" w:lineRule="auto"/>
        <w:rPr>
          <w:rFonts w:ascii="Calibri" w:hAnsi="Calibri" w:cs="Calibri"/>
          <w:b/>
        </w:rPr>
      </w:pPr>
    </w:p>
    <w:p w14:paraId="6E23E0D2" w14:textId="77777777" w:rsidR="0078519A" w:rsidRDefault="0078519A" w:rsidP="0021236D">
      <w:pPr>
        <w:spacing w:after="0" w:line="240" w:lineRule="auto"/>
        <w:rPr>
          <w:rFonts w:ascii="Calibri" w:hAnsi="Calibri" w:cs="Calibri"/>
          <w:b/>
        </w:rPr>
      </w:pPr>
      <w:r w:rsidRPr="0021236D">
        <w:rPr>
          <w:rFonts w:ascii="Calibri" w:hAnsi="Calibri" w:cs="Calibri"/>
          <w:b/>
        </w:rPr>
        <w:t>Lessons Learned</w:t>
      </w:r>
    </w:p>
    <w:p w14:paraId="22C53294" w14:textId="1DF5FE7F" w:rsidR="0042355C" w:rsidRDefault="0042355C" w:rsidP="0042355C">
      <w:pPr>
        <w:spacing w:after="0" w:line="240" w:lineRule="auto"/>
        <w:rPr>
          <w:rFonts w:ascii="Calibri" w:hAnsi="Calibri" w:cs="Calibri"/>
        </w:rPr>
      </w:pPr>
      <w:r w:rsidRPr="00960B09">
        <w:rPr>
          <w:rFonts w:ascii="Calibri" w:hAnsi="Calibri" w:cs="Calibri"/>
        </w:rPr>
        <w:t xml:space="preserve">Several key lessons learned from this evaluation contribute to a broad set of lessons derived from other roads evaluations and the findings of the </w:t>
      </w:r>
      <w:r>
        <w:rPr>
          <w:rFonts w:ascii="Calibri" w:hAnsi="Calibri" w:cs="Calibri"/>
        </w:rPr>
        <w:t>Transport</w:t>
      </w:r>
      <w:r w:rsidRPr="00960B09">
        <w:rPr>
          <w:rFonts w:ascii="Calibri" w:hAnsi="Calibri" w:cs="Calibri"/>
        </w:rPr>
        <w:t xml:space="preserve"> Sector Practice Group’s internal reviews.  MCC and partner countries should consider these lessons when designing and implementing</w:t>
      </w:r>
      <w:r w:rsidR="002F5831">
        <w:rPr>
          <w:rFonts w:ascii="Calibri" w:hAnsi="Calibri" w:cs="Calibri"/>
        </w:rPr>
        <w:t xml:space="preserve"> roads projects and evaluations.</w:t>
      </w:r>
    </w:p>
    <w:p w14:paraId="26217F75" w14:textId="77777777" w:rsidR="00A92090" w:rsidRDefault="00A92090" w:rsidP="00A92090">
      <w:pPr>
        <w:spacing w:after="0" w:line="240" w:lineRule="auto"/>
        <w:rPr>
          <w:rFonts w:ascii="Calibri" w:hAnsi="Calibri" w:cs="Calibri"/>
          <w:b/>
        </w:rPr>
      </w:pPr>
    </w:p>
    <w:p w14:paraId="19D56D07" w14:textId="77777777" w:rsidR="002646AE" w:rsidRDefault="002646AE" w:rsidP="002646AE">
      <w:pPr>
        <w:spacing w:after="0" w:line="240" w:lineRule="auto"/>
        <w:jc w:val="both"/>
        <w:rPr>
          <w:rFonts w:ascii="Calibri" w:hAnsi="Calibri" w:cs="Calibri"/>
        </w:rPr>
      </w:pPr>
      <w:r>
        <w:rPr>
          <w:rFonts w:ascii="Calibri" w:hAnsi="Calibri" w:cs="Calibri"/>
        </w:rPr>
        <w:t>Improving evaluation methodology:</w:t>
      </w:r>
    </w:p>
    <w:p w14:paraId="5582E699" w14:textId="77777777" w:rsidR="002646AE" w:rsidRDefault="002646AE" w:rsidP="00A92090">
      <w:pPr>
        <w:spacing w:after="0" w:line="240" w:lineRule="auto"/>
        <w:rPr>
          <w:rFonts w:ascii="Calibri" w:hAnsi="Calibri" w:cs="Calibri"/>
          <w:b/>
        </w:rPr>
      </w:pPr>
    </w:p>
    <w:p w14:paraId="6E236F76" w14:textId="01311001" w:rsidR="008E3BC5" w:rsidRDefault="00FE3846" w:rsidP="008E3BC5">
      <w:pPr>
        <w:spacing w:after="0" w:line="240" w:lineRule="auto"/>
        <w:rPr>
          <w:rFonts w:ascii="Calibri" w:hAnsi="Calibri" w:cs="Calibri"/>
          <w:b/>
        </w:rPr>
      </w:pPr>
      <w:r>
        <w:rPr>
          <w:rFonts w:ascii="Calibri" w:hAnsi="Calibri" w:cs="Calibri"/>
          <w:b/>
        </w:rPr>
        <w:t>Base evaluation decisions on a clear program logic</w:t>
      </w:r>
      <w:r w:rsidR="008E3BC5">
        <w:rPr>
          <w:rFonts w:ascii="Calibri" w:hAnsi="Calibri" w:cs="Calibri"/>
          <w:b/>
        </w:rPr>
        <w:t>.</w:t>
      </w:r>
      <w:r w:rsidR="008E3BC5" w:rsidRPr="00BD00B5">
        <w:rPr>
          <w:rFonts w:ascii="Calibri" w:hAnsi="Calibri" w:cs="Calibri"/>
        </w:rPr>
        <w:t xml:space="preserve"> The </w:t>
      </w:r>
      <w:r w:rsidR="008E3BC5">
        <w:rPr>
          <w:rFonts w:ascii="Calibri" w:hAnsi="Calibri" w:cs="Calibri"/>
        </w:rPr>
        <w:t xml:space="preserve">Armenia roads rehabilitation was designed to improve the economic performance of the agricultural sector; however, the initial program logic was fairly vague about the pathways through which this would occur. In addition, there was limited evidence available on which to base the original program logic. This made the evaluation design more challenging as the specific outcomes to be assessed were defined in general terms, and there were no clear theories about the expected timing of changes in those outcomes. </w:t>
      </w:r>
      <w:r w:rsidR="008E3BC5" w:rsidRPr="00950CDC">
        <w:rPr>
          <w:rFonts w:ascii="Calibri" w:hAnsi="Calibri" w:cs="Calibri"/>
        </w:rPr>
        <w:t xml:space="preserve">The decision of when and what data should be collected should be driven by </w:t>
      </w:r>
      <w:r w:rsidR="008E3BC5">
        <w:rPr>
          <w:rFonts w:ascii="Calibri" w:hAnsi="Calibri" w:cs="Calibri"/>
        </w:rPr>
        <w:t xml:space="preserve">a clear </w:t>
      </w:r>
      <w:r w:rsidR="008E3BC5" w:rsidRPr="00950CDC">
        <w:rPr>
          <w:rFonts w:ascii="Calibri" w:hAnsi="Calibri" w:cs="Calibri"/>
        </w:rPr>
        <w:t>program logic</w:t>
      </w:r>
      <w:r w:rsidR="000C2B61">
        <w:rPr>
          <w:rFonts w:ascii="Calibri" w:hAnsi="Calibri" w:cs="Calibri"/>
        </w:rPr>
        <w:t xml:space="preserve"> that underlies the investment decision</w:t>
      </w:r>
      <w:r w:rsidR="008E3BC5" w:rsidRPr="00950CDC">
        <w:rPr>
          <w:rFonts w:ascii="Calibri" w:hAnsi="Calibri" w:cs="Calibri"/>
        </w:rPr>
        <w:t>.</w:t>
      </w:r>
    </w:p>
    <w:p w14:paraId="6077F867" w14:textId="77777777" w:rsidR="008E3BC5" w:rsidRDefault="008E3BC5" w:rsidP="00A92090">
      <w:pPr>
        <w:spacing w:after="0" w:line="240" w:lineRule="auto"/>
        <w:rPr>
          <w:rFonts w:ascii="Calibri" w:hAnsi="Calibri" w:cs="Calibri"/>
          <w:b/>
        </w:rPr>
      </w:pPr>
    </w:p>
    <w:p w14:paraId="75816F0A" w14:textId="6B435AA4" w:rsidR="00E479A6" w:rsidRDefault="004A107B" w:rsidP="00A92090">
      <w:pPr>
        <w:spacing w:after="0" w:line="240" w:lineRule="auto"/>
        <w:rPr>
          <w:rFonts w:ascii="Calibri" w:hAnsi="Calibri" w:cs="Calibri"/>
        </w:rPr>
      </w:pPr>
      <w:r w:rsidRPr="00E479A6">
        <w:rPr>
          <w:rFonts w:ascii="Calibri" w:hAnsi="Calibri" w:cs="Calibri"/>
          <w:b/>
        </w:rPr>
        <w:lastRenderedPageBreak/>
        <w:t>Set realistic time horizons</w:t>
      </w:r>
      <w:r w:rsidR="00990D14">
        <w:rPr>
          <w:rFonts w:ascii="Calibri" w:hAnsi="Calibri" w:cs="Calibri"/>
          <w:b/>
        </w:rPr>
        <w:t xml:space="preserve"> and keep data collection plans flexible</w:t>
      </w:r>
      <w:r w:rsidRPr="00E479A6">
        <w:rPr>
          <w:rFonts w:ascii="Calibri" w:hAnsi="Calibri" w:cs="Calibri"/>
        </w:rPr>
        <w:t xml:space="preserve">. </w:t>
      </w:r>
      <w:r w:rsidR="00032254">
        <w:rPr>
          <w:rFonts w:ascii="Calibri" w:hAnsi="Calibri" w:cs="Calibri"/>
        </w:rPr>
        <w:t>Often</w:t>
      </w:r>
      <w:r w:rsidRPr="00E479A6">
        <w:rPr>
          <w:rFonts w:ascii="Calibri" w:hAnsi="Calibri" w:cs="Calibri"/>
        </w:rPr>
        <w:t xml:space="preserve"> there are delays in large infrastructure projects. </w:t>
      </w:r>
      <w:r w:rsidR="00102A0E">
        <w:rPr>
          <w:rFonts w:ascii="Calibri" w:hAnsi="Calibri" w:cs="Calibri"/>
        </w:rPr>
        <w:t>The data collection plan for the Armenia roads project</w:t>
      </w:r>
      <w:r w:rsidR="00D237DF">
        <w:rPr>
          <w:rFonts w:ascii="Calibri" w:hAnsi="Calibri" w:cs="Calibri"/>
        </w:rPr>
        <w:t xml:space="preserve"> was agreed upon early i</w:t>
      </w:r>
      <w:r w:rsidR="004377A5">
        <w:rPr>
          <w:rFonts w:ascii="Calibri" w:hAnsi="Calibri" w:cs="Calibri"/>
        </w:rPr>
        <w:t>n</w:t>
      </w:r>
      <w:r w:rsidR="00D237DF">
        <w:rPr>
          <w:rFonts w:ascii="Calibri" w:hAnsi="Calibri" w:cs="Calibri"/>
        </w:rPr>
        <w:t xml:space="preserve"> the compact</w:t>
      </w:r>
      <w:r w:rsidR="001C1D92">
        <w:rPr>
          <w:rFonts w:ascii="Calibri" w:hAnsi="Calibri" w:cs="Calibri"/>
        </w:rPr>
        <w:t xml:space="preserve"> with the National Statistical </w:t>
      </w:r>
      <w:r w:rsidR="00D00D06">
        <w:rPr>
          <w:rFonts w:ascii="Calibri" w:hAnsi="Calibri" w:cs="Calibri"/>
        </w:rPr>
        <w:t>Service of the Republic of Armenia</w:t>
      </w:r>
      <w:r w:rsidR="00A57234">
        <w:rPr>
          <w:rFonts w:ascii="Calibri" w:hAnsi="Calibri" w:cs="Calibri"/>
        </w:rPr>
        <w:t xml:space="preserve">. </w:t>
      </w:r>
      <w:r w:rsidR="00936BEA">
        <w:rPr>
          <w:rFonts w:ascii="Calibri" w:hAnsi="Calibri" w:cs="Calibri"/>
        </w:rPr>
        <w:t>Data collection proceeded as planned, but d</w:t>
      </w:r>
      <w:r w:rsidR="00A57234">
        <w:rPr>
          <w:rFonts w:ascii="Calibri" w:hAnsi="Calibri" w:cs="Calibri"/>
        </w:rPr>
        <w:t>ue to un</w:t>
      </w:r>
      <w:r w:rsidR="005023E5">
        <w:rPr>
          <w:rFonts w:ascii="Calibri" w:hAnsi="Calibri" w:cs="Calibri"/>
        </w:rPr>
        <w:t>foreseen</w:t>
      </w:r>
      <w:r w:rsidR="00A57234">
        <w:rPr>
          <w:rFonts w:ascii="Calibri" w:hAnsi="Calibri" w:cs="Calibri"/>
        </w:rPr>
        <w:t xml:space="preserve"> events in Armenia, there were only 1 to 2 years after road rehabilitation before final data collection took place. </w:t>
      </w:r>
      <w:r w:rsidR="00390C60">
        <w:rPr>
          <w:rFonts w:ascii="Calibri" w:hAnsi="Calibri" w:cs="Calibri"/>
        </w:rPr>
        <w:t xml:space="preserve">This limits the learning from the evaluation as it is not clear if the lack of impact on </w:t>
      </w:r>
      <w:r w:rsidR="006270CD">
        <w:rPr>
          <w:rFonts w:ascii="Calibri" w:hAnsi="Calibri" w:cs="Calibri"/>
        </w:rPr>
        <w:t>medium and long term</w:t>
      </w:r>
      <w:r w:rsidR="00390C60">
        <w:rPr>
          <w:rFonts w:ascii="Calibri" w:hAnsi="Calibri" w:cs="Calibri"/>
        </w:rPr>
        <w:t xml:space="preserve"> outcomes is due to the limited exposure period or if the road rehabilitation</w:t>
      </w:r>
      <w:r w:rsidR="00BE32C2">
        <w:rPr>
          <w:rFonts w:ascii="Calibri" w:hAnsi="Calibri" w:cs="Calibri"/>
        </w:rPr>
        <w:t xml:space="preserve"> really had a negl</w:t>
      </w:r>
      <w:r w:rsidR="00000485">
        <w:rPr>
          <w:rFonts w:ascii="Calibri" w:hAnsi="Calibri" w:cs="Calibri"/>
        </w:rPr>
        <w:t>ig</w:t>
      </w:r>
      <w:r w:rsidR="00BE32C2">
        <w:rPr>
          <w:rFonts w:ascii="Calibri" w:hAnsi="Calibri" w:cs="Calibri"/>
        </w:rPr>
        <w:t>ible</w:t>
      </w:r>
      <w:r w:rsidR="00390C60">
        <w:rPr>
          <w:rFonts w:ascii="Calibri" w:hAnsi="Calibri" w:cs="Calibri"/>
        </w:rPr>
        <w:t xml:space="preserve"> impact</w:t>
      </w:r>
      <w:r w:rsidR="00592DB0">
        <w:rPr>
          <w:rFonts w:ascii="Calibri" w:hAnsi="Calibri" w:cs="Calibri"/>
        </w:rPr>
        <w:t xml:space="preserve"> on household well-being</w:t>
      </w:r>
      <w:r w:rsidR="00390C60">
        <w:rPr>
          <w:rFonts w:ascii="Calibri" w:hAnsi="Calibri" w:cs="Calibri"/>
        </w:rPr>
        <w:t xml:space="preserve">. </w:t>
      </w:r>
      <w:r w:rsidRPr="00E479A6">
        <w:rPr>
          <w:rFonts w:ascii="Calibri" w:hAnsi="Calibri" w:cs="Calibri"/>
        </w:rPr>
        <w:t>From the beginning, implementers and evaluators should build into the evaluation design actions for mitigating risk to the evaluation associated</w:t>
      </w:r>
      <w:r w:rsidR="001E4A63" w:rsidRPr="00E479A6">
        <w:rPr>
          <w:rFonts w:ascii="Calibri" w:hAnsi="Calibri" w:cs="Calibri"/>
        </w:rPr>
        <w:t xml:space="preserve"> with delays in implementation.</w:t>
      </w:r>
    </w:p>
    <w:p w14:paraId="018DDADB" w14:textId="77777777" w:rsidR="00E15E26" w:rsidRDefault="00E15E26" w:rsidP="00A92090">
      <w:pPr>
        <w:spacing w:after="0" w:line="240" w:lineRule="auto"/>
        <w:rPr>
          <w:rFonts w:ascii="Calibri" w:hAnsi="Calibri" w:cs="Calibri"/>
        </w:rPr>
      </w:pPr>
    </w:p>
    <w:p w14:paraId="3A11BFBA" w14:textId="1BE8F92F" w:rsidR="00165C99" w:rsidRPr="00A92090" w:rsidRDefault="00A738A9" w:rsidP="00A92090">
      <w:pPr>
        <w:spacing w:after="0" w:line="240" w:lineRule="auto"/>
        <w:rPr>
          <w:rFonts w:ascii="Calibri" w:hAnsi="Calibri" w:cs="Calibri"/>
        </w:rPr>
      </w:pPr>
      <w:r>
        <w:rPr>
          <w:rFonts w:ascii="Calibri" w:hAnsi="Calibri" w:cs="Calibri"/>
          <w:b/>
        </w:rPr>
        <w:t>E</w:t>
      </w:r>
      <w:r w:rsidR="007F6EFF">
        <w:rPr>
          <w:rFonts w:ascii="Calibri" w:hAnsi="Calibri" w:cs="Calibri"/>
          <w:b/>
        </w:rPr>
        <w:t>nsure sufficient s</w:t>
      </w:r>
      <w:r w:rsidR="006F5670">
        <w:rPr>
          <w:rFonts w:ascii="Calibri" w:hAnsi="Calibri" w:cs="Calibri"/>
          <w:b/>
        </w:rPr>
        <w:t>tatistical p</w:t>
      </w:r>
      <w:r w:rsidR="00AD1A7D">
        <w:rPr>
          <w:rFonts w:ascii="Calibri" w:hAnsi="Calibri" w:cs="Calibri"/>
          <w:b/>
        </w:rPr>
        <w:t>ower</w:t>
      </w:r>
      <w:r w:rsidR="006F5670">
        <w:rPr>
          <w:rFonts w:ascii="Calibri" w:hAnsi="Calibri" w:cs="Calibri"/>
          <w:b/>
        </w:rPr>
        <w:t>.</w:t>
      </w:r>
      <w:r w:rsidR="006F5670">
        <w:rPr>
          <w:rFonts w:ascii="Calibri" w:hAnsi="Calibri" w:cs="Calibri"/>
        </w:rPr>
        <w:t xml:space="preserve"> The </w:t>
      </w:r>
      <w:r w:rsidR="0007238E">
        <w:rPr>
          <w:rFonts w:ascii="Calibri" w:hAnsi="Calibri" w:cs="Calibri"/>
        </w:rPr>
        <w:t xml:space="preserve">evaluation included </w:t>
      </w:r>
      <w:r w:rsidR="005A39CA">
        <w:rPr>
          <w:rFonts w:ascii="Calibri" w:hAnsi="Calibri" w:cs="Calibri"/>
        </w:rPr>
        <w:t xml:space="preserve">a small number of road sections – </w:t>
      </w:r>
      <w:r w:rsidR="0007238E">
        <w:rPr>
          <w:rFonts w:ascii="Calibri" w:hAnsi="Calibri" w:cs="Calibri"/>
        </w:rPr>
        <w:t xml:space="preserve">27 </w:t>
      </w:r>
      <w:r w:rsidR="009A71F1">
        <w:rPr>
          <w:rFonts w:ascii="Calibri" w:hAnsi="Calibri" w:cs="Calibri"/>
        </w:rPr>
        <w:t xml:space="preserve">in the treatment group and 29 in the comparison group. </w:t>
      </w:r>
      <w:r w:rsidR="00424799">
        <w:rPr>
          <w:rFonts w:ascii="Calibri" w:hAnsi="Calibri" w:cs="Calibri"/>
        </w:rPr>
        <w:t>Since there is intra-cluster</w:t>
      </w:r>
      <w:r w:rsidR="00375D04">
        <w:rPr>
          <w:rFonts w:ascii="Calibri" w:hAnsi="Calibri" w:cs="Calibri"/>
        </w:rPr>
        <w:t xml:space="preserve"> correlation amongst households located around any one </w:t>
      </w:r>
      <w:r w:rsidR="00375D04" w:rsidRPr="00032254">
        <w:rPr>
          <w:rFonts w:ascii="Calibri" w:hAnsi="Calibri" w:cs="Calibri"/>
        </w:rPr>
        <w:t>road section, the statistical power of the evaluation was</w:t>
      </w:r>
      <w:r w:rsidR="008D1A2B" w:rsidRPr="00032254">
        <w:rPr>
          <w:rFonts w:ascii="Calibri" w:hAnsi="Calibri" w:cs="Calibri"/>
        </w:rPr>
        <w:t xml:space="preserve"> limited</w:t>
      </w:r>
      <w:r w:rsidR="00B90F89" w:rsidRPr="00032254">
        <w:rPr>
          <w:rFonts w:ascii="Calibri" w:hAnsi="Calibri" w:cs="Calibri"/>
        </w:rPr>
        <w:t xml:space="preserve">. As a result, </w:t>
      </w:r>
      <w:r w:rsidR="00A14A72" w:rsidRPr="00032254">
        <w:rPr>
          <w:rFonts w:ascii="Calibri" w:hAnsi="Calibri" w:cs="Calibri"/>
        </w:rPr>
        <w:t>it is challenging</w:t>
      </w:r>
      <w:r w:rsidR="008D1A2B" w:rsidRPr="00032254">
        <w:rPr>
          <w:rFonts w:ascii="Calibri" w:hAnsi="Calibri" w:cs="Calibri"/>
        </w:rPr>
        <w:t xml:space="preserve"> to interpret </w:t>
      </w:r>
      <w:r w:rsidR="00A14A72" w:rsidRPr="00032254">
        <w:rPr>
          <w:rFonts w:ascii="Calibri" w:hAnsi="Calibri" w:cs="Calibri"/>
        </w:rPr>
        <w:t xml:space="preserve">the results </w:t>
      </w:r>
      <w:r w:rsidR="00527A92" w:rsidRPr="00032254">
        <w:rPr>
          <w:rFonts w:ascii="Calibri" w:hAnsi="Calibri" w:cs="Calibri"/>
        </w:rPr>
        <w:t>for the medium and long term outcomes. W</w:t>
      </w:r>
      <w:r w:rsidR="00A14A72" w:rsidRPr="00032254">
        <w:rPr>
          <w:rFonts w:ascii="Calibri" w:hAnsi="Calibri" w:cs="Calibri"/>
        </w:rPr>
        <w:t xml:space="preserve">as there </w:t>
      </w:r>
      <w:r w:rsidR="00A83C0D" w:rsidRPr="00032254">
        <w:rPr>
          <w:rFonts w:ascii="Calibri" w:hAnsi="Calibri" w:cs="Calibri"/>
        </w:rPr>
        <w:t xml:space="preserve">really very little impact or </w:t>
      </w:r>
      <w:r w:rsidR="00A14A72" w:rsidRPr="00032254">
        <w:rPr>
          <w:rFonts w:ascii="Calibri" w:hAnsi="Calibri" w:cs="Calibri"/>
        </w:rPr>
        <w:t xml:space="preserve">were the </w:t>
      </w:r>
      <w:r w:rsidR="00A83C0D" w:rsidRPr="00032254">
        <w:rPr>
          <w:rFonts w:ascii="Calibri" w:hAnsi="Calibri" w:cs="Calibri"/>
        </w:rPr>
        <w:t xml:space="preserve">impacts </w:t>
      </w:r>
      <w:r w:rsidR="00A14A72" w:rsidRPr="00032254">
        <w:rPr>
          <w:rFonts w:ascii="Calibri" w:hAnsi="Calibri" w:cs="Calibri"/>
        </w:rPr>
        <w:t xml:space="preserve">just not as </w:t>
      </w:r>
      <w:r w:rsidR="00A83C0D" w:rsidRPr="00032254">
        <w:rPr>
          <w:rFonts w:ascii="Calibri" w:hAnsi="Calibri" w:cs="Calibri"/>
        </w:rPr>
        <w:t>large as the minimum detectable effects, which for many</w:t>
      </w:r>
      <w:r w:rsidR="00527A92" w:rsidRPr="00032254">
        <w:rPr>
          <w:rFonts w:ascii="Calibri" w:hAnsi="Calibri" w:cs="Calibri"/>
        </w:rPr>
        <w:t xml:space="preserve"> medium and long term</w:t>
      </w:r>
      <w:r w:rsidR="00A83C0D" w:rsidRPr="00032254">
        <w:rPr>
          <w:rFonts w:ascii="Calibri" w:hAnsi="Calibri" w:cs="Calibri"/>
        </w:rPr>
        <w:t xml:space="preserve"> variables were quite high.</w:t>
      </w:r>
      <w:r w:rsidR="00E55AAB" w:rsidRPr="00032254">
        <w:rPr>
          <w:rFonts w:ascii="Calibri" w:hAnsi="Calibri" w:cs="Calibri"/>
        </w:rPr>
        <w:t xml:space="preserve"> The weak statistical power </w:t>
      </w:r>
      <w:r w:rsidR="00DB612F" w:rsidRPr="00032254">
        <w:rPr>
          <w:rFonts w:ascii="Calibri" w:hAnsi="Calibri" w:cs="Calibri"/>
        </w:rPr>
        <w:t>was due to two main</w:t>
      </w:r>
      <w:r w:rsidR="0002257C" w:rsidRPr="00032254">
        <w:rPr>
          <w:rFonts w:ascii="Calibri" w:hAnsi="Calibri" w:cs="Calibri"/>
        </w:rPr>
        <w:t xml:space="preserve"> factors: (1) </w:t>
      </w:r>
      <w:r w:rsidR="004D4142" w:rsidRPr="00032254">
        <w:rPr>
          <w:rFonts w:ascii="Calibri" w:hAnsi="Calibri" w:cs="Calibri"/>
        </w:rPr>
        <w:t>a small number of road sections</w:t>
      </w:r>
      <w:r w:rsidR="004D4142" w:rsidRPr="00527A92">
        <w:rPr>
          <w:rFonts w:ascii="Calibri" w:hAnsi="Calibri" w:cs="Calibri"/>
        </w:rPr>
        <w:t xml:space="preserve"> actually being rehabilitated</w:t>
      </w:r>
      <w:r w:rsidR="00DB612F" w:rsidRPr="00527A92">
        <w:rPr>
          <w:rFonts w:ascii="Calibri" w:hAnsi="Calibri" w:cs="Calibri"/>
        </w:rPr>
        <w:t xml:space="preserve"> and</w:t>
      </w:r>
      <w:r w:rsidR="001C71C7">
        <w:rPr>
          <w:rFonts w:ascii="Calibri" w:hAnsi="Calibri" w:cs="Calibri"/>
        </w:rPr>
        <w:t xml:space="preserve"> (2) </w:t>
      </w:r>
      <w:r w:rsidR="0002257C">
        <w:rPr>
          <w:rFonts w:ascii="Calibri" w:hAnsi="Calibri" w:cs="Calibri"/>
        </w:rPr>
        <w:t>design of the evaluation around an existing data source</w:t>
      </w:r>
      <w:r>
        <w:rPr>
          <w:rFonts w:ascii="Calibri" w:hAnsi="Calibri" w:cs="Calibri"/>
        </w:rPr>
        <w:t xml:space="preserve"> which limited the number of road sections covered</w:t>
      </w:r>
      <w:r w:rsidR="005B51FC">
        <w:rPr>
          <w:rFonts w:ascii="Calibri" w:hAnsi="Calibri" w:cs="Calibri"/>
        </w:rPr>
        <w:t xml:space="preserve"> and the sample size</w:t>
      </w:r>
      <w:r w:rsidR="00DB612F">
        <w:rPr>
          <w:rFonts w:ascii="Calibri" w:hAnsi="Calibri" w:cs="Calibri"/>
        </w:rPr>
        <w:t>.</w:t>
      </w:r>
      <w:r w:rsidR="00A438A5">
        <w:rPr>
          <w:rFonts w:ascii="Calibri" w:hAnsi="Calibri" w:cs="Calibri"/>
        </w:rPr>
        <w:t xml:space="preserve"> In the future, before investing significant resources into an evaluation, MCC should ensure that there will be sufficient statistical power for measuring realistic changes in key outcomes.</w:t>
      </w:r>
      <w:r w:rsidR="00D00D06">
        <w:rPr>
          <w:rFonts w:ascii="Calibri" w:hAnsi="Calibri" w:cs="Calibri"/>
        </w:rPr>
        <w:t xml:space="preserve"> To achieve this goal, it may be productive to for an evaluation to cover similar programs in multiple countries rather than for each evaluation to only examine one country at a time.</w:t>
      </w:r>
    </w:p>
    <w:p w14:paraId="55F516F1" w14:textId="77777777" w:rsidR="004A107B" w:rsidRDefault="004A107B" w:rsidP="0021236D">
      <w:pPr>
        <w:spacing w:after="0" w:line="240" w:lineRule="auto"/>
        <w:rPr>
          <w:rFonts w:ascii="Calibri" w:hAnsi="Calibri" w:cs="Calibri"/>
        </w:rPr>
      </w:pPr>
    </w:p>
    <w:p w14:paraId="48D2B671" w14:textId="77777777" w:rsidR="00A15941" w:rsidRPr="009E7E30" w:rsidRDefault="00A15941" w:rsidP="00A15941">
      <w:pPr>
        <w:spacing w:after="0" w:line="240" w:lineRule="auto"/>
        <w:rPr>
          <w:rFonts w:ascii="Calibri" w:hAnsi="Calibri" w:cs="Calibri"/>
        </w:rPr>
      </w:pPr>
      <w:r w:rsidRPr="009E7E30">
        <w:rPr>
          <w:rFonts w:ascii="Calibri" w:hAnsi="Calibri" w:cs="Calibri"/>
        </w:rPr>
        <w:t xml:space="preserve">Many of these lessons are similar to those that MCC has learned from previous evaluations. As a result, MCC has already adjusted its evaluation practices to include a formal review process for evaluations, an evaluation risk assessment, and use of standardized evaluation templates.  The new process also </w:t>
      </w:r>
      <w:r w:rsidRPr="000B4C7C">
        <w:t xml:space="preserve">requires substantive review and clearance of key evaluation documents by sector specialists in order to </w:t>
      </w:r>
      <w:r>
        <w:t>incorporate</w:t>
      </w:r>
      <w:r w:rsidRPr="000B4C7C">
        <w:t xml:space="preserve"> feedback on the technical and factual accuracy of evaluation plans. </w:t>
      </w:r>
    </w:p>
    <w:p w14:paraId="183BFA83" w14:textId="77777777" w:rsidR="00D06692" w:rsidRDefault="00D06692" w:rsidP="0021236D">
      <w:pPr>
        <w:spacing w:after="0" w:line="240" w:lineRule="auto"/>
        <w:rPr>
          <w:rFonts w:ascii="Calibri" w:hAnsi="Calibri" w:cs="Calibri"/>
        </w:rPr>
      </w:pPr>
    </w:p>
    <w:p w14:paraId="5AF25064" w14:textId="77777777" w:rsidR="003D0974" w:rsidRDefault="003D0974" w:rsidP="003D0974">
      <w:pPr>
        <w:spacing w:after="0" w:line="240" w:lineRule="auto"/>
        <w:jc w:val="both"/>
      </w:pPr>
      <w:r>
        <w:t>Improving roads project selection and design:</w:t>
      </w:r>
    </w:p>
    <w:p w14:paraId="7FD5AD6B" w14:textId="77777777" w:rsidR="003D0974" w:rsidRPr="003D0974" w:rsidRDefault="003D0974" w:rsidP="003D0974">
      <w:pPr>
        <w:spacing w:after="0" w:line="240" w:lineRule="auto"/>
        <w:jc w:val="both"/>
      </w:pPr>
    </w:p>
    <w:p w14:paraId="1D030351" w14:textId="77777777" w:rsidR="003D0974" w:rsidRPr="003D0974" w:rsidRDefault="003D0974" w:rsidP="003D0974">
      <w:pPr>
        <w:pStyle w:val="ListParagraph"/>
        <w:numPr>
          <w:ilvl w:val="0"/>
          <w:numId w:val="7"/>
        </w:numPr>
        <w:spacing w:after="0" w:line="240" w:lineRule="auto"/>
        <w:contextualSpacing w:val="0"/>
        <w:rPr>
          <w:iCs/>
        </w:rPr>
      </w:pPr>
      <w:r w:rsidRPr="003D0974">
        <w:rPr>
          <w:iCs/>
        </w:rPr>
        <w:t>The roads project selection process should include an upfront national or area-wide road network analysis based on selected criteria such as traffic volume, IRI and other parameters, in order to prioritize potential road investments that are proven to be economically viable.</w:t>
      </w:r>
    </w:p>
    <w:p w14:paraId="17A2FEFD" w14:textId="77777777" w:rsidR="003D0974" w:rsidRPr="003D0974" w:rsidRDefault="003D0974" w:rsidP="003D0974">
      <w:pPr>
        <w:pStyle w:val="ListParagraph"/>
        <w:spacing w:after="0" w:line="240" w:lineRule="auto"/>
        <w:contextualSpacing w:val="0"/>
        <w:rPr>
          <w:iCs/>
        </w:rPr>
      </w:pPr>
    </w:p>
    <w:p w14:paraId="631CEB1A" w14:textId="77777777" w:rsidR="003D0974" w:rsidRPr="003D0974" w:rsidRDefault="003D0974" w:rsidP="003D0974">
      <w:pPr>
        <w:pStyle w:val="ListParagraph"/>
        <w:numPr>
          <w:ilvl w:val="0"/>
          <w:numId w:val="7"/>
        </w:numPr>
        <w:spacing w:after="0" w:line="240" w:lineRule="auto"/>
        <w:contextualSpacing w:val="0"/>
        <w:rPr>
          <w:iCs/>
        </w:rPr>
      </w:pPr>
      <w:r w:rsidRPr="003D0974">
        <w:rPr>
          <w:iCs/>
        </w:rPr>
        <w:t>It is important to consider alternative interventions that may prove to be relatively more cost effective and economically viable than simply paving a road.</w:t>
      </w:r>
    </w:p>
    <w:p w14:paraId="67743150" w14:textId="77777777" w:rsidR="003D0974" w:rsidRPr="003D0974" w:rsidRDefault="003D0974" w:rsidP="003D0974">
      <w:pPr>
        <w:spacing w:after="0" w:line="240" w:lineRule="auto"/>
        <w:rPr>
          <w:iCs/>
        </w:rPr>
      </w:pPr>
    </w:p>
    <w:p w14:paraId="6F94C757" w14:textId="77777777" w:rsidR="003D0974" w:rsidRPr="003D0974" w:rsidRDefault="003D0974" w:rsidP="003D0974">
      <w:pPr>
        <w:pStyle w:val="ListParagraph"/>
        <w:numPr>
          <w:ilvl w:val="0"/>
          <w:numId w:val="7"/>
        </w:numPr>
        <w:spacing w:after="0" w:line="240" w:lineRule="auto"/>
        <w:contextualSpacing w:val="0"/>
      </w:pPr>
      <w:r w:rsidRPr="003D0974">
        <w:rPr>
          <w:iCs/>
        </w:rPr>
        <w:t xml:space="preserve">It is critical to </w:t>
      </w:r>
      <w:r w:rsidRPr="003D0974">
        <w:rPr>
          <w:rFonts w:ascii="Calibri" w:eastAsia="Calibri" w:hAnsi="Calibri" w:cs="Times New Roman"/>
        </w:rPr>
        <w:t>comprehensively address policy and institutional constraints in road maintenance as well as seek assurances from the partner countries that the necessary mechanisms to ensure sustainability of their existing roadway network are in place prior to MCC committing to a capital-intensive road investment project.</w:t>
      </w:r>
    </w:p>
    <w:p w14:paraId="39B0496B" w14:textId="77777777" w:rsidR="003D0974" w:rsidRPr="003D0974" w:rsidRDefault="003D0974" w:rsidP="003D0974">
      <w:pPr>
        <w:pStyle w:val="ListParagraph"/>
      </w:pPr>
    </w:p>
    <w:p w14:paraId="3AFD6E9B" w14:textId="2E064573" w:rsidR="003D0974" w:rsidRPr="003D0974" w:rsidRDefault="003D0974" w:rsidP="003D0974">
      <w:pPr>
        <w:pStyle w:val="ListParagraph"/>
        <w:numPr>
          <w:ilvl w:val="0"/>
          <w:numId w:val="7"/>
        </w:numPr>
        <w:spacing w:after="0" w:line="240" w:lineRule="auto"/>
        <w:contextualSpacing w:val="0"/>
      </w:pPr>
      <w:r w:rsidRPr="003D0974">
        <w:t xml:space="preserve">MCC recognizes the need to better understand actual road maintenance practices and their effects on the long-term costs and benefits of roads.  Accordingly, MCC is planning a series of country-specific road maintenance studies, which will be used to improve both the economic </w:t>
      </w:r>
      <w:r w:rsidRPr="003D0974">
        <w:lastRenderedPageBreak/>
        <w:t xml:space="preserve">assessment of road investments and, where feasible, influence actual road maintenance planning and execution in partner countries. </w:t>
      </w:r>
    </w:p>
    <w:p w14:paraId="2788F6E5" w14:textId="77777777" w:rsidR="003D0974" w:rsidRPr="003D0974" w:rsidRDefault="003D0974" w:rsidP="003D0974">
      <w:pPr>
        <w:spacing w:after="0" w:line="240" w:lineRule="auto"/>
      </w:pPr>
    </w:p>
    <w:p w14:paraId="6F788138" w14:textId="77777777" w:rsidR="0026032B" w:rsidRDefault="003D0974" w:rsidP="0026032B">
      <w:pPr>
        <w:pStyle w:val="ListParagraph"/>
        <w:numPr>
          <w:ilvl w:val="0"/>
          <w:numId w:val="7"/>
        </w:numPr>
        <w:spacing w:after="0" w:line="240" w:lineRule="auto"/>
        <w:contextualSpacing w:val="0"/>
        <w:rPr>
          <w:iCs/>
        </w:rPr>
      </w:pPr>
      <w:r w:rsidRPr="003D0974">
        <w:rPr>
          <w:iCs/>
        </w:rPr>
        <w:t xml:space="preserve">Project teams must ensure complete and high quality data is collected both for the Highway Development and Management (HDM-4)/Roads Economic Decision (RED) ERR modeling purposes that feed into project selection and design, and for M&amp;E purposes during and after implementation.  The HDM-4/RED models should be based on fully developed feasibility studies that provide accurate cost and time estimates and other reliable technical inputs.  They must also be well developed and calibrated at the feasibility study stage and continue to be updated as costs and other design parameters change throughout the construction stages and post-project completion.  </w:t>
      </w:r>
    </w:p>
    <w:p w14:paraId="58B95F21" w14:textId="77777777" w:rsidR="0026032B" w:rsidRPr="0026032B" w:rsidRDefault="0026032B" w:rsidP="0026032B">
      <w:pPr>
        <w:pStyle w:val="ListParagraph"/>
        <w:rPr>
          <w:iCs/>
        </w:rPr>
      </w:pPr>
    </w:p>
    <w:p w14:paraId="017D9A3C" w14:textId="7D023508" w:rsidR="003D0974" w:rsidRPr="0026032B" w:rsidRDefault="003D0974" w:rsidP="0026032B">
      <w:pPr>
        <w:pStyle w:val="ListParagraph"/>
        <w:numPr>
          <w:ilvl w:val="0"/>
          <w:numId w:val="7"/>
        </w:numPr>
        <w:spacing w:after="0" w:line="240" w:lineRule="auto"/>
        <w:contextualSpacing w:val="0"/>
        <w:rPr>
          <w:iCs/>
        </w:rPr>
      </w:pPr>
      <w:r w:rsidRPr="0026032B">
        <w:rPr>
          <w:iCs/>
        </w:rPr>
        <w:t xml:space="preserve">The value of roads investments can be optimized by enforcing standards for design review by technical experts and quality assurance and control requirements.  Roads teams should also consider </w:t>
      </w:r>
      <w:r w:rsidRPr="0026032B">
        <w:rPr>
          <w:rFonts w:cs="Calibri"/>
        </w:rPr>
        <w:t>alternative forms of engineering contracts and project delivery systems that may improve the quality of contractor feasibility, design and supervision.</w:t>
      </w:r>
    </w:p>
    <w:p w14:paraId="2643B4A5" w14:textId="77777777" w:rsidR="003D0974" w:rsidRPr="0021236D" w:rsidRDefault="003D0974" w:rsidP="0021236D">
      <w:pPr>
        <w:spacing w:after="0" w:line="240" w:lineRule="auto"/>
        <w:rPr>
          <w:rFonts w:ascii="Calibri" w:hAnsi="Calibri" w:cs="Calibri"/>
        </w:rPr>
      </w:pPr>
    </w:p>
    <w:p w14:paraId="50063C1F" w14:textId="77777777" w:rsidR="0078519A" w:rsidRDefault="0078519A" w:rsidP="0021236D">
      <w:pPr>
        <w:spacing w:after="0" w:line="240" w:lineRule="auto"/>
        <w:rPr>
          <w:rFonts w:ascii="Calibri" w:hAnsi="Calibri" w:cs="Calibri"/>
          <w:b/>
        </w:rPr>
      </w:pPr>
      <w:r w:rsidRPr="0021236D">
        <w:rPr>
          <w:rFonts w:ascii="Calibri" w:hAnsi="Calibri" w:cs="Calibri"/>
          <w:b/>
        </w:rPr>
        <w:t>Next Steps</w:t>
      </w:r>
    </w:p>
    <w:p w14:paraId="1A3D4482" w14:textId="43EF3726" w:rsidR="0078519A" w:rsidRPr="0021236D" w:rsidRDefault="00C03A45" w:rsidP="0021236D">
      <w:pPr>
        <w:spacing w:after="0" w:line="240" w:lineRule="auto"/>
        <w:rPr>
          <w:rFonts w:ascii="Calibri" w:hAnsi="Calibri" w:cs="Calibri"/>
        </w:rPr>
      </w:pPr>
      <w:r w:rsidRPr="00C03A45">
        <w:rPr>
          <w:rFonts w:ascii="Calibri" w:hAnsi="Calibri" w:cs="Calibri"/>
        </w:rPr>
        <w:t xml:space="preserve">The results of </w:t>
      </w:r>
      <w:r w:rsidR="0027068E">
        <w:rPr>
          <w:rFonts w:ascii="Calibri" w:hAnsi="Calibri" w:cs="Calibri"/>
        </w:rPr>
        <w:t>th</w:t>
      </w:r>
      <w:r w:rsidR="00D30127">
        <w:rPr>
          <w:rFonts w:ascii="Calibri" w:hAnsi="Calibri" w:cs="Calibri"/>
        </w:rPr>
        <w:t>is</w:t>
      </w:r>
      <w:r w:rsidR="0027068E">
        <w:rPr>
          <w:rFonts w:ascii="Calibri" w:hAnsi="Calibri" w:cs="Calibri"/>
        </w:rPr>
        <w:t xml:space="preserve"> evaluation will be presented</w:t>
      </w:r>
      <w:r w:rsidR="001D3DDF">
        <w:rPr>
          <w:rFonts w:ascii="Calibri" w:hAnsi="Calibri" w:cs="Calibri"/>
        </w:rPr>
        <w:t xml:space="preserve"> to stakeholders</w:t>
      </w:r>
      <w:r w:rsidR="0027068E">
        <w:rPr>
          <w:rFonts w:ascii="Calibri" w:hAnsi="Calibri" w:cs="Calibri"/>
        </w:rPr>
        <w:t xml:space="preserve"> </w:t>
      </w:r>
      <w:r w:rsidR="00D30127">
        <w:rPr>
          <w:rFonts w:ascii="Calibri" w:hAnsi="Calibri" w:cs="Calibri"/>
        </w:rPr>
        <w:t>in Armenia in 2015 along with other evaluations from the MCC Armenia Compact.</w:t>
      </w:r>
      <w:r w:rsidR="0026032B">
        <w:rPr>
          <w:rFonts w:ascii="Calibri" w:hAnsi="Calibri" w:cs="Calibri"/>
        </w:rPr>
        <w:t xml:space="preserve"> The evaluatio</w:t>
      </w:r>
      <w:r w:rsidR="0026032B" w:rsidRPr="00592169">
        <w:rPr>
          <w:rFonts w:ascii="Calibri" w:hAnsi="Calibri" w:cs="Calibri"/>
        </w:rPr>
        <w:t>n</w:t>
      </w:r>
      <w:r w:rsidR="00070576">
        <w:rPr>
          <w:rFonts w:ascii="Calibri" w:hAnsi="Calibri" w:cs="Calibri"/>
        </w:rPr>
        <w:t xml:space="preserve"> </w:t>
      </w:r>
      <w:r w:rsidR="0026032B">
        <w:rPr>
          <w:rFonts w:ascii="Calibri" w:hAnsi="Calibri" w:cs="Calibri"/>
        </w:rPr>
        <w:t>and</w:t>
      </w:r>
      <w:r w:rsidR="0026032B" w:rsidRPr="00592169">
        <w:rPr>
          <w:rFonts w:ascii="Calibri" w:hAnsi="Calibri" w:cs="Calibri"/>
        </w:rPr>
        <w:t xml:space="preserve"> associated supporting technical documentation</w:t>
      </w:r>
      <w:r w:rsidR="0026032B">
        <w:rPr>
          <w:rFonts w:ascii="Calibri" w:hAnsi="Calibri" w:cs="Calibri"/>
        </w:rPr>
        <w:t>,</w:t>
      </w:r>
      <w:r w:rsidR="0026032B" w:rsidRPr="00592169">
        <w:rPr>
          <w:rFonts w:ascii="Calibri" w:hAnsi="Calibri" w:cs="Calibri"/>
        </w:rPr>
        <w:t xml:space="preserve"> will be available on the MCC external web site for public</w:t>
      </w:r>
      <w:r w:rsidR="0026032B">
        <w:rPr>
          <w:rFonts w:ascii="Calibri" w:hAnsi="Calibri" w:cs="Calibri"/>
        </w:rPr>
        <w:t xml:space="preserve"> access thereafter</w:t>
      </w:r>
      <w:r w:rsidR="0026032B" w:rsidRPr="00FB2C15">
        <w:rPr>
          <w:rFonts w:cs="Calibri"/>
        </w:rPr>
        <w:t xml:space="preserve">; </w:t>
      </w:r>
      <w:r w:rsidR="0026032B" w:rsidRPr="00FB2C15">
        <w:rPr>
          <w:lang w:eastAsia="zh-CN"/>
        </w:rPr>
        <w:t xml:space="preserve">refer to the MCC </w:t>
      </w:r>
      <w:hyperlink r:id="rId14" w:history="1">
        <w:r w:rsidR="0026032B" w:rsidRPr="00FB2C15">
          <w:rPr>
            <w:lang w:eastAsia="zh-CN"/>
          </w:rPr>
          <w:t>Evalua</w:t>
        </w:r>
        <w:bookmarkStart w:id="0" w:name="_GoBack"/>
        <w:bookmarkEnd w:id="0"/>
        <w:r w:rsidR="0026032B" w:rsidRPr="00FB2C15">
          <w:rPr>
            <w:lang w:eastAsia="zh-CN"/>
          </w:rPr>
          <w:t>tion Catalog</w:t>
        </w:r>
      </w:hyperlink>
      <w:r w:rsidR="0026032B" w:rsidRPr="00FB2C15">
        <w:rPr>
          <w:lang w:eastAsia="zh-CN"/>
        </w:rPr>
        <w:t xml:space="preserve"> </w:t>
      </w:r>
      <w:r w:rsidR="0026032B">
        <w:rPr>
          <w:lang w:eastAsia="zh-CN"/>
        </w:rPr>
        <w:t xml:space="preserve">available </w:t>
      </w:r>
      <w:r w:rsidR="0026032B" w:rsidRPr="00FB2C15">
        <w:rPr>
          <w:lang w:eastAsia="zh-CN"/>
        </w:rPr>
        <w:t xml:space="preserve">at: </w:t>
      </w:r>
      <w:hyperlink r:id="rId15" w:history="1">
        <w:r w:rsidR="00016C28" w:rsidRPr="009A281A">
          <w:rPr>
            <w:rStyle w:val="Hyperlink"/>
            <w:lang w:eastAsia="zh-CN"/>
          </w:rPr>
          <w:t>http://data.mcc.gov/evaluations/index.php/catalog</w:t>
        </w:r>
      </w:hyperlink>
      <w:r w:rsidR="0026032B" w:rsidRPr="00FB2C15">
        <w:rPr>
          <w:lang w:eastAsia="zh-CN"/>
        </w:rPr>
        <w:t>.</w:t>
      </w:r>
    </w:p>
    <w:sectPr w:rsidR="0078519A" w:rsidRPr="0021236D" w:rsidSect="00883839">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B5EA3" w14:textId="77777777" w:rsidR="008A2433" w:rsidRDefault="008A2433" w:rsidP="00F273D5">
      <w:pPr>
        <w:spacing w:after="0" w:line="240" w:lineRule="auto"/>
      </w:pPr>
      <w:r>
        <w:separator/>
      </w:r>
    </w:p>
  </w:endnote>
  <w:endnote w:type="continuationSeparator" w:id="0">
    <w:p w14:paraId="5BD59126" w14:textId="77777777" w:rsidR="008A2433" w:rsidRDefault="008A2433" w:rsidP="00F27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835339"/>
      <w:docPartObj>
        <w:docPartGallery w:val="Page Numbers (Bottom of Page)"/>
        <w:docPartUnique/>
      </w:docPartObj>
    </w:sdtPr>
    <w:sdtEndPr>
      <w:rPr>
        <w:noProof/>
      </w:rPr>
    </w:sdtEndPr>
    <w:sdtContent>
      <w:p w14:paraId="0B0FCF57" w14:textId="77777777" w:rsidR="00E26DEA" w:rsidRDefault="00883839">
        <w:pPr>
          <w:pStyle w:val="Footer"/>
          <w:jc w:val="center"/>
        </w:pPr>
        <w:r>
          <w:fldChar w:fldCharType="begin"/>
        </w:r>
        <w:r w:rsidR="00E26DEA">
          <w:instrText xml:space="preserve"> PAGE   \* MERGEFORMAT </w:instrText>
        </w:r>
        <w:r>
          <w:fldChar w:fldCharType="separate"/>
        </w:r>
        <w:r w:rsidR="007A3F98">
          <w:rPr>
            <w:noProof/>
          </w:rPr>
          <w:t>5</w:t>
        </w:r>
        <w:r>
          <w:rPr>
            <w:noProof/>
          </w:rPr>
          <w:fldChar w:fldCharType="end"/>
        </w:r>
      </w:p>
    </w:sdtContent>
  </w:sdt>
  <w:p w14:paraId="7891EB5C" w14:textId="77777777" w:rsidR="00E26DEA" w:rsidRDefault="00E26D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6F8AD" w14:textId="77777777" w:rsidR="008A2433" w:rsidRDefault="008A2433" w:rsidP="00F273D5">
      <w:pPr>
        <w:spacing w:after="0" w:line="240" w:lineRule="auto"/>
      </w:pPr>
      <w:r>
        <w:separator/>
      </w:r>
    </w:p>
  </w:footnote>
  <w:footnote w:type="continuationSeparator" w:id="0">
    <w:p w14:paraId="632E9AA4" w14:textId="77777777" w:rsidR="008A2433" w:rsidRDefault="008A2433" w:rsidP="00F273D5">
      <w:pPr>
        <w:spacing w:after="0" w:line="240" w:lineRule="auto"/>
      </w:pPr>
      <w:r>
        <w:continuationSeparator/>
      </w:r>
    </w:p>
  </w:footnote>
  <w:footnote w:id="1">
    <w:p w14:paraId="4221771B" w14:textId="77777777" w:rsidR="003E6D1D" w:rsidRDefault="003E6D1D" w:rsidP="003710E8">
      <w:pPr>
        <w:pStyle w:val="FootnoteText"/>
      </w:pPr>
      <w:r>
        <w:rPr>
          <w:rStyle w:val="FootnoteReference"/>
        </w:rPr>
        <w:footnoteRef/>
      </w:r>
      <w:r>
        <w:t xml:space="preserve"> The two budgetary indicators were only reported to MCC until 2009 (covering 2008 data) because then the project was placed on operational hold.</w:t>
      </w:r>
    </w:p>
  </w:footnote>
  <w:footnote w:id="2">
    <w:p w14:paraId="4B31F9FC" w14:textId="0981B3F1" w:rsidR="00E94B36" w:rsidRDefault="00E94B36">
      <w:pPr>
        <w:pStyle w:val="FootnoteText"/>
      </w:pPr>
      <w:r>
        <w:rPr>
          <w:rStyle w:val="FootnoteReference"/>
        </w:rPr>
        <w:footnoteRef/>
      </w:r>
      <w:r>
        <w:t xml:space="preserve"> Note that according to the World Bank, </w:t>
      </w:r>
      <w:r w:rsidRPr="00E94B36">
        <w:t>the project generated 39,855 person-days/month of temporary construction jobs compared to a target value of</w:t>
      </w:r>
      <w:r>
        <w:t xml:space="preserve"> 36,650 person-days/month</w:t>
      </w:r>
      <w:r w:rsidRPr="00E94B36">
        <w:t>, of whom 60-70 percent were hired from local villages and 70 percent unskilled. Such increase corresponds to direct income transfer to workers of almost US$5.0 million.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B2D77"/>
    <w:multiLevelType w:val="hybridMultilevel"/>
    <w:tmpl w:val="CE72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9F1440"/>
    <w:multiLevelType w:val="hybridMultilevel"/>
    <w:tmpl w:val="05A03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F84460"/>
    <w:multiLevelType w:val="multilevel"/>
    <w:tmpl w:val="86D04CDE"/>
    <w:styleLink w:val="bullet1Garamond"/>
    <w:lvl w:ilvl="0">
      <w:start w:val="1"/>
      <w:numFmt w:val="bullet"/>
      <w:pStyle w:val="NORCBullet1TimesNewRomanSquare"/>
      <w:lvlText w:val=""/>
      <w:lvlJc w:val="left"/>
      <w:pPr>
        <w:tabs>
          <w:tab w:val="num" w:pos="720"/>
        </w:tabs>
        <w:ind w:left="720" w:hanging="360"/>
      </w:pPr>
      <w:rPr>
        <w:rFonts w:ascii="Wingdings" w:hAnsi="Wingdings" w:hint="default"/>
        <w:color w:val="F3901D"/>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293C1458"/>
    <w:multiLevelType w:val="hybridMultilevel"/>
    <w:tmpl w:val="5D4244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BCF4C7B"/>
    <w:multiLevelType w:val="hybridMultilevel"/>
    <w:tmpl w:val="4C78F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591DA9"/>
    <w:multiLevelType w:val="hybridMultilevel"/>
    <w:tmpl w:val="1CE4D154"/>
    <w:lvl w:ilvl="0" w:tplc="04090001">
      <w:start w:val="1"/>
      <w:numFmt w:val="bullet"/>
      <w:lvlText w:val=""/>
      <w:lvlJc w:val="left"/>
      <w:pPr>
        <w:ind w:left="360" w:hanging="360"/>
      </w:pPr>
      <w:rPr>
        <w:rFonts w:ascii="Symbol" w:hAnsi="Symbol" w:hint="default"/>
      </w:rPr>
    </w:lvl>
    <w:lvl w:ilvl="1" w:tplc="DF348C26">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DE5ABA"/>
    <w:multiLevelType w:val="hybridMultilevel"/>
    <w:tmpl w:val="728609C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C3F0452"/>
    <w:multiLevelType w:val="multilevel"/>
    <w:tmpl w:val="86D04CDE"/>
    <w:numStyleLink w:val="bullet1Garamond"/>
  </w:abstractNum>
  <w:abstractNum w:abstractNumId="8">
    <w:nsid w:val="48104465"/>
    <w:multiLevelType w:val="hybridMultilevel"/>
    <w:tmpl w:val="0C8A79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72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4E06D4F"/>
    <w:multiLevelType w:val="hybridMultilevel"/>
    <w:tmpl w:val="5A90C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DD0B4F"/>
    <w:multiLevelType w:val="hybridMultilevel"/>
    <w:tmpl w:val="14880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47C12E9"/>
    <w:multiLevelType w:val="hybridMultilevel"/>
    <w:tmpl w:val="7492752A"/>
    <w:lvl w:ilvl="0" w:tplc="2740079E">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num>
  <w:num w:numId="2">
    <w:abstractNumId w:val="1"/>
  </w:num>
  <w:num w:numId="3">
    <w:abstractNumId w:val="3"/>
  </w:num>
  <w:num w:numId="4">
    <w:abstractNumId w:val="5"/>
  </w:num>
  <w:num w:numId="5">
    <w:abstractNumId w:val="8"/>
  </w:num>
  <w:num w:numId="6">
    <w:abstractNumId w:val="10"/>
  </w:num>
  <w:num w:numId="7">
    <w:abstractNumId w:val="6"/>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8519A"/>
    <w:rsid w:val="00000485"/>
    <w:rsid w:val="00003779"/>
    <w:rsid w:val="00003DC9"/>
    <w:rsid w:val="00011C59"/>
    <w:rsid w:val="00012BD1"/>
    <w:rsid w:val="00014D47"/>
    <w:rsid w:val="00016C28"/>
    <w:rsid w:val="00021D9C"/>
    <w:rsid w:val="0002257C"/>
    <w:rsid w:val="00032254"/>
    <w:rsid w:val="00040481"/>
    <w:rsid w:val="00040955"/>
    <w:rsid w:val="000474F7"/>
    <w:rsid w:val="00052887"/>
    <w:rsid w:val="000539E1"/>
    <w:rsid w:val="000675B0"/>
    <w:rsid w:val="00070576"/>
    <w:rsid w:val="0007238E"/>
    <w:rsid w:val="00080539"/>
    <w:rsid w:val="0008143B"/>
    <w:rsid w:val="00084715"/>
    <w:rsid w:val="000861F9"/>
    <w:rsid w:val="00091690"/>
    <w:rsid w:val="000B0BB2"/>
    <w:rsid w:val="000B0BEB"/>
    <w:rsid w:val="000B38A3"/>
    <w:rsid w:val="000B7935"/>
    <w:rsid w:val="000B7DAF"/>
    <w:rsid w:val="000C041D"/>
    <w:rsid w:val="000C2B61"/>
    <w:rsid w:val="000C46DC"/>
    <w:rsid w:val="000C6938"/>
    <w:rsid w:val="000D380E"/>
    <w:rsid w:val="000E0495"/>
    <w:rsid w:val="000E0D50"/>
    <w:rsid w:val="000E1828"/>
    <w:rsid w:val="000E3419"/>
    <w:rsid w:val="000E4DA2"/>
    <w:rsid w:val="000E546D"/>
    <w:rsid w:val="000F1430"/>
    <w:rsid w:val="00102A0E"/>
    <w:rsid w:val="00120FF8"/>
    <w:rsid w:val="001251F1"/>
    <w:rsid w:val="00135A0B"/>
    <w:rsid w:val="0014313B"/>
    <w:rsid w:val="00145EA6"/>
    <w:rsid w:val="00151332"/>
    <w:rsid w:val="00154FA8"/>
    <w:rsid w:val="00162C3C"/>
    <w:rsid w:val="00165C99"/>
    <w:rsid w:val="001723EC"/>
    <w:rsid w:val="001730A1"/>
    <w:rsid w:val="001827C8"/>
    <w:rsid w:val="00193A6A"/>
    <w:rsid w:val="001B1AD2"/>
    <w:rsid w:val="001B4E84"/>
    <w:rsid w:val="001B5B3C"/>
    <w:rsid w:val="001C1D92"/>
    <w:rsid w:val="001C251A"/>
    <w:rsid w:val="001C3EEB"/>
    <w:rsid w:val="001C541B"/>
    <w:rsid w:val="001C5616"/>
    <w:rsid w:val="001C64CD"/>
    <w:rsid w:val="001C71C7"/>
    <w:rsid w:val="001D3DDF"/>
    <w:rsid w:val="001E4A63"/>
    <w:rsid w:val="001E4ACA"/>
    <w:rsid w:val="001E7B2E"/>
    <w:rsid w:val="002043C3"/>
    <w:rsid w:val="0020624E"/>
    <w:rsid w:val="0021236D"/>
    <w:rsid w:val="00214B64"/>
    <w:rsid w:val="00220380"/>
    <w:rsid w:val="00220418"/>
    <w:rsid w:val="00227E88"/>
    <w:rsid w:val="00234329"/>
    <w:rsid w:val="00236EE1"/>
    <w:rsid w:val="0025189B"/>
    <w:rsid w:val="0026032B"/>
    <w:rsid w:val="002646AE"/>
    <w:rsid w:val="00266EBC"/>
    <w:rsid w:val="0027068E"/>
    <w:rsid w:val="00272AA6"/>
    <w:rsid w:val="00274358"/>
    <w:rsid w:val="002757BE"/>
    <w:rsid w:val="00281645"/>
    <w:rsid w:val="00285E30"/>
    <w:rsid w:val="00287BDD"/>
    <w:rsid w:val="002A710F"/>
    <w:rsid w:val="002B2641"/>
    <w:rsid w:val="002B4892"/>
    <w:rsid w:val="002B507A"/>
    <w:rsid w:val="002B7D92"/>
    <w:rsid w:val="002C1291"/>
    <w:rsid w:val="002C634F"/>
    <w:rsid w:val="002C6AE8"/>
    <w:rsid w:val="002D155B"/>
    <w:rsid w:val="002D5185"/>
    <w:rsid w:val="002D525D"/>
    <w:rsid w:val="002D54B7"/>
    <w:rsid w:val="002D718C"/>
    <w:rsid w:val="002E71E1"/>
    <w:rsid w:val="002F5831"/>
    <w:rsid w:val="00305C92"/>
    <w:rsid w:val="00312C82"/>
    <w:rsid w:val="003245B2"/>
    <w:rsid w:val="003309E0"/>
    <w:rsid w:val="00336919"/>
    <w:rsid w:val="00343E87"/>
    <w:rsid w:val="00352CB8"/>
    <w:rsid w:val="00364C9A"/>
    <w:rsid w:val="003710E8"/>
    <w:rsid w:val="00375834"/>
    <w:rsid w:val="00375D04"/>
    <w:rsid w:val="00376F3F"/>
    <w:rsid w:val="00380B84"/>
    <w:rsid w:val="00390C60"/>
    <w:rsid w:val="003920A1"/>
    <w:rsid w:val="00393A36"/>
    <w:rsid w:val="00394AA7"/>
    <w:rsid w:val="003A1023"/>
    <w:rsid w:val="003A264F"/>
    <w:rsid w:val="003A4A94"/>
    <w:rsid w:val="003B2F68"/>
    <w:rsid w:val="003C14C0"/>
    <w:rsid w:val="003C31E5"/>
    <w:rsid w:val="003D0974"/>
    <w:rsid w:val="003D2450"/>
    <w:rsid w:val="003D4D40"/>
    <w:rsid w:val="003E2388"/>
    <w:rsid w:val="003E6966"/>
    <w:rsid w:val="003E6D1D"/>
    <w:rsid w:val="003F1D62"/>
    <w:rsid w:val="003F7576"/>
    <w:rsid w:val="004001E8"/>
    <w:rsid w:val="00401CB3"/>
    <w:rsid w:val="00406EC2"/>
    <w:rsid w:val="00415F24"/>
    <w:rsid w:val="00420394"/>
    <w:rsid w:val="004222C0"/>
    <w:rsid w:val="0042355C"/>
    <w:rsid w:val="00424799"/>
    <w:rsid w:val="00424828"/>
    <w:rsid w:val="00426884"/>
    <w:rsid w:val="00434C6A"/>
    <w:rsid w:val="004377A5"/>
    <w:rsid w:val="004412EE"/>
    <w:rsid w:val="00441818"/>
    <w:rsid w:val="00441EC9"/>
    <w:rsid w:val="00445AF1"/>
    <w:rsid w:val="004516C9"/>
    <w:rsid w:val="00453047"/>
    <w:rsid w:val="00456718"/>
    <w:rsid w:val="00460E37"/>
    <w:rsid w:val="00463E51"/>
    <w:rsid w:val="0046433D"/>
    <w:rsid w:val="00466174"/>
    <w:rsid w:val="00471D2F"/>
    <w:rsid w:val="00485947"/>
    <w:rsid w:val="00491D09"/>
    <w:rsid w:val="004A107B"/>
    <w:rsid w:val="004A2903"/>
    <w:rsid w:val="004A7608"/>
    <w:rsid w:val="004B008D"/>
    <w:rsid w:val="004B0E48"/>
    <w:rsid w:val="004B1091"/>
    <w:rsid w:val="004B3CC8"/>
    <w:rsid w:val="004C0178"/>
    <w:rsid w:val="004C0DB3"/>
    <w:rsid w:val="004C5351"/>
    <w:rsid w:val="004C6172"/>
    <w:rsid w:val="004D4142"/>
    <w:rsid w:val="004D4B30"/>
    <w:rsid w:val="004D6412"/>
    <w:rsid w:val="004E05FB"/>
    <w:rsid w:val="004E5400"/>
    <w:rsid w:val="004F02B2"/>
    <w:rsid w:val="004F1D93"/>
    <w:rsid w:val="004F2A44"/>
    <w:rsid w:val="004F4193"/>
    <w:rsid w:val="005023E5"/>
    <w:rsid w:val="00503E23"/>
    <w:rsid w:val="005052FB"/>
    <w:rsid w:val="00511449"/>
    <w:rsid w:val="005144B4"/>
    <w:rsid w:val="00522244"/>
    <w:rsid w:val="00522C36"/>
    <w:rsid w:val="005233B8"/>
    <w:rsid w:val="00523BD4"/>
    <w:rsid w:val="00527A92"/>
    <w:rsid w:val="005308F7"/>
    <w:rsid w:val="005309C4"/>
    <w:rsid w:val="00534506"/>
    <w:rsid w:val="00534B35"/>
    <w:rsid w:val="00535BC0"/>
    <w:rsid w:val="00550303"/>
    <w:rsid w:val="005512AE"/>
    <w:rsid w:val="00554744"/>
    <w:rsid w:val="00560FC9"/>
    <w:rsid w:val="00561D82"/>
    <w:rsid w:val="005752BE"/>
    <w:rsid w:val="0057607A"/>
    <w:rsid w:val="00586537"/>
    <w:rsid w:val="005905E1"/>
    <w:rsid w:val="005906CE"/>
    <w:rsid w:val="0059154A"/>
    <w:rsid w:val="00592DB0"/>
    <w:rsid w:val="00593796"/>
    <w:rsid w:val="00594949"/>
    <w:rsid w:val="00596479"/>
    <w:rsid w:val="005A13A9"/>
    <w:rsid w:val="005A1BBC"/>
    <w:rsid w:val="005A39CA"/>
    <w:rsid w:val="005A44D3"/>
    <w:rsid w:val="005B51FC"/>
    <w:rsid w:val="005B680B"/>
    <w:rsid w:val="005B6D00"/>
    <w:rsid w:val="005B737B"/>
    <w:rsid w:val="005C350B"/>
    <w:rsid w:val="005C3AD7"/>
    <w:rsid w:val="005C485F"/>
    <w:rsid w:val="005C5549"/>
    <w:rsid w:val="005C5ECF"/>
    <w:rsid w:val="005C72D7"/>
    <w:rsid w:val="005E02B1"/>
    <w:rsid w:val="005E02B3"/>
    <w:rsid w:val="005E6CF1"/>
    <w:rsid w:val="005E775E"/>
    <w:rsid w:val="005F0269"/>
    <w:rsid w:val="005F2C15"/>
    <w:rsid w:val="006033A9"/>
    <w:rsid w:val="0060499C"/>
    <w:rsid w:val="00606642"/>
    <w:rsid w:val="006134A4"/>
    <w:rsid w:val="00616791"/>
    <w:rsid w:val="00622F33"/>
    <w:rsid w:val="0062302A"/>
    <w:rsid w:val="006270CD"/>
    <w:rsid w:val="00636ECE"/>
    <w:rsid w:val="00637119"/>
    <w:rsid w:val="006401C0"/>
    <w:rsid w:val="00650D9A"/>
    <w:rsid w:val="006555A9"/>
    <w:rsid w:val="006603BA"/>
    <w:rsid w:val="006646D1"/>
    <w:rsid w:val="00664C18"/>
    <w:rsid w:val="00665A72"/>
    <w:rsid w:val="00667040"/>
    <w:rsid w:val="00676723"/>
    <w:rsid w:val="006A4C80"/>
    <w:rsid w:val="006A5379"/>
    <w:rsid w:val="006A66E7"/>
    <w:rsid w:val="006A6E2D"/>
    <w:rsid w:val="006B186D"/>
    <w:rsid w:val="006B5130"/>
    <w:rsid w:val="006B69D3"/>
    <w:rsid w:val="006C416B"/>
    <w:rsid w:val="006C6A85"/>
    <w:rsid w:val="006D7F40"/>
    <w:rsid w:val="006E186A"/>
    <w:rsid w:val="006E5631"/>
    <w:rsid w:val="006F0C4C"/>
    <w:rsid w:val="006F55E4"/>
    <w:rsid w:val="006F5670"/>
    <w:rsid w:val="006F73F0"/>
    <w:rsid w:val="00702611"/>
    <w:rsid w:val="00704115"/>
    <w:rsid w:val="00706982"/>
    <w:rsid w:val="007164B6"/>
    <w:rsid w:val="007214EE"/>
    <w:rsid w:val="00726429"/>
    <w:rsid w:val="00727DA5"/>
    <w:rsid w:val="00732327"/>
    <w:rsid w:val="00755010"/>
    <w:rsid w:val="00755DDB"/>
    <w:rsid w:val="0076336E"/>
    <w:rsid w:val="00765428"/>
    <w:rsid w:val="00780052"/>
    <w:rsid w:val="00783CDA"/>
    <w:rsid w:val="0078519A"/>
    <w:rsid w:val="00793D04"/>
    <w:rsid w:val="0079550C"/>
    <w:rsid w:val="007A20C7"/>
    <w:rsid w:val="007A3F98"/>
    <w:rsid w:val="007A539B"/>
    <w:rsid w:val="007C0668"/>
    <w:rsid w:val="007C60ED"/>
    <w:rsid w:val="007C6DBC"/>
    <w:rsid w:val="007C7C85"/>
    <w:rsid w:val="007D4B34"/>
    <w:rsid w:val="007D596C"/>
    <w:rsid w:val="007D5F8F"/>
    <w:rsid w:val="007E0E20"/>
    <w:rsid w:val="007E1B9A"/>
    <w:rsid w:val="007F2529"/>
    <w:rsid w:val="007F6EFF"/>
    <w:rsid w:val="007F77AE"/>
    <w:rsid w:val="00801EE3"/>
    <w:rsid w:val="008103F0"/>
    <w:rsid w:val="00812833"/>
    <w:rsid w:val="00813EE3"/>
    <w:rsid w:val="00814DC4"/>
    <w:rsid w:val="00817ED3"/>
    <w:rsid w:val="00823075"/>
    <w:rsid w:val="00826070"/>
    <w:rsid w:val="00827863"/>
    <w:rsid w:val="00831185"/>
    <w:rsid w:val="00831CED"/>
    <w:rsid w:val="00834DDB"/>
    <w:rsid w:val="00844694"/>
    <w:rsid w:val="00846ACB"/>
    <w:rsid w:val="00852B13"/>
    <w:rsid w:val="00857DBE"/>
    <w:rsid w:val="00862ABD"/>
    <w:rsid w:val="00875338"/>
    <w:rsid w:val="00881A42"/>
    <w:rsid w:val="00883839"/>
    <w:rsid w:val="00886780"/>
    <w:rsid w:val="00891785"/>
    <w:rsid w:val="00895E33"/>
    <w:rsid w:val="008A2433"/>
    <w:rsid w:val="008A6C8E"/>
    <w:rsid w:val="008B098A"/>
    <w:rsid w:val="008C5651"/>
    <w:rsid w:val="008C72ED"/>
    <w:rsid w:val="008D06F3"/>
    <w:rsid w:val="008D1A2B"/>
    <w:rsid w:val="008D234E"/>
    <w:rsid w:val="008E39A4"/>
    <w:rsid w:val="008E3BC5"/>
    <w:rsid w:val="008E42BD"/>
    <w:rsid w:val="009025F3"/>
    <w:rsid w:val="00904B22"/>
    <w:rsid w:val="00905512"/>
    <w:rsid w:val="009132C2"/>
    <w:rsid w:val="00916E5E"/>
    <w:rsid w:val="00917964"/>
    <w:rsid w:val="00927622"/>
    <w:rsid w:val="00936BEA"/>
    <w:rsid w:val="00936FB9"/>
    <w:rsid w:val="00937BA3"/>
    <w:rsid w:val="0094351E"/>
    <w:rsid w:val="00943630"/>
    <w:rsid w:val="009552C6"/>
    <w:rsid w:val="0095756A"/>
    <w:rsid w:val="00961056"/>
    <w:rsid w:val="00970424"/>
    <w:rsid w:val="00973114"/>
    <w:rsid w:val="009862F2"/>
    <w:rsid w:val="00990D14"/>
    <w:rsid w:val="00990F04"/>
    <w:rsid w:val="009A6145"/>
    <w:rsid w:val="009A71F1"/>
    <w:rsid w:val="009A7598"/>
    <w:rsid w:val="009B167F"/>
    <w:rsid w:val="009B2180"/>
    <w:rsid w:val="009B2D5D"/>
    <w:rsid w:val="009B4AED"/>
    <w:rsid w:val="009B4C7F"/>
    <w:rsid w:val="009C212F"/>
    <w:rsid w:val="009C5418"/>
    <w:rsid w:val="009D1568"/>
    <w:rsid w:val="009D1648"/>
    <w:rsid w:val="009D3753"/>
    <w:rsid w:val="009E55AA"/>
    <w:rsid w:val="009E78F5"/>
    <w:rsid w:val="009F3ACD"/>
    <w:rsid w:val="009F59A0"/>
    <w:rsid w:val="009F7BDE"/>
    <w:rsid w:val="00A07051"/>
    <w:rsid w:val="00A14A72"/>
    <w:rsid w:val="00A15941"/>
    <w:rsid w:val="00A203F4"/>
    <w:rsid w:val="00A3135E"/>
    <w:rsid w:val="00A338AF"/>
    <w:rsid w:val="00A364DF"/>
    <w:rsid w:val="00A36A90"/>
    <w:rsid w:val="00A37A77"/>
    <w:rsid w:val="00A42C0E"/>
    <w:rsid w:val="00A438A5"/>
    <w:rsid w:val="00A51951"/>
    <w:rsid w:val="00A53EBE"/>
    <w:rsid w:val="00A5536A"/>
    <w:rsid w:val="00A571AD"/>
    <w:rsid w:val="00A57234"/>
    <w:rsid w:val="00A579D2"/>
    <w:rsid w:val="00A57A02"/>
    <w:rsid w:val="00A738A9"/>
    <w:rsid w:val="00A7484F"/>
    <w:rsid w:val="00A83BAC"/>
    <w:rsid w:val="00A83C0D"/>
    <w:rsid w:val="00A84CC5"/>
    <w:rsid w:val="00A9086D"/>
    <w:rsid w:val="00A92090"/>
    <w:rsid w:val="00A951F8"/>
    <w:rsid w:val="00A95F48"/>
    <w:rsid w:val="00A96557"/>
    <w:rsid w:val="00AA03E3"/>
    <w:rsid w:val="00AB71D6"/>
    <w:rsid w:val="00AC0D99"/>
    <w:rsid w:val="00AC7B13"/>
    <w:rsid w:val="00AD1A7D"/>
    <w:rsid w:val="00AD1D22"/>
    <w:rsid w:val="00AE4B7E"/>
    <w:rsid w:val="00AF2A52"/>
    <w:rsid w:val="00AF2B3A"/>
    <w:rsid w:val="00AF5C38"/>
    <w:rsid w:val="00AF6909"/>
    <w:rsid w:val="00B0007A"/>
    <w:rsid w:val="00B0102B"/>
    <w:rsid w:val="00B07623"/>
    <w:rsid w:val="00B3504F"/>
    <w:rsid w:val="00B4284E"/>
    <w:rsid w:val="00B4346B"/>
    <w:rsid w:val="00B5230B"/>
    <w:rsid w:val="00B533DE"/>
    <w:rsid w:val="00B55405"/>
    <w:rsid w:val="00B5576A"/>
    <w:rsid w:val="00B576D4"/>
    <w:rsid w:val="00B651EB"/>
    <w:rsid w:val="00B65EBC"/>
    <w:rsid w:val="00B71DBB"/>
    <w:rsid w:val="00B73FE8"/>
    <w:rsid w:val="00B90F89"/>
    <w:rsid w:val="00B9246E"/>
    <w:rsid w:val="00B937D4"/>
    <w:rsid w:val="00B96610"/>
    <w:rsid w:val="00BA7C62"/>
    <w:rsid w:val="00BB427F"/>
    <w:rsid w:val="00BB4440"/>
    <w:rsid w:val="00BB613C"/>
    <w:rsid w:val="00BC05C5"/>
    <w:rsid w:val="00BC1996"/>
    <w:rsid w:val="00BC1A80"/>
    <w:rsid w:val="00BD00B5"/>
    <w:rsid w:val="00BD0220"/>
    <w:rsid w:val="00BD2AB9"/>
    <w:rsid w:val="00BD4E75"/>
    <w:rsid w:val="00BE32C2"/>
    <w:rsid w:val="00BE4892"/>
    <w:rsid w:val="00BF15A8"/>
    <w:rsid w:val="00BF2CB6"/>
    <w:rsid w:val="00BF545A"/>
    <w:rsid w:val="00BF74BD"/>
    <w:rsid w:val="00BF7F2C"/>
    <w:rsid w:val="00C03A45"/>
    <w:rsid w:val="00C0531B"/>
    <w:rsid w:val="00C11689"/>
    <w:rsid w:val="00C15407"/>
    <w:rsid w:val="00C16EBA"/>
    <w:rsid w:val="00C2161E"/>
    <w:rsid w:val="00C25AF5"/>
    <w:rsid w:val="00C432A9"/>
    <w:rsid w:val="00C474A6"/>
    <w:rsid w:val="00C50BAE"/>
    <w:rsid w:val="00C526BC"/>
    <w:rsid w:val="00C53DEF"/>
    <w:rsid w:val="00C800FF"/>
    <w:rsid w:val="00C8022D"/>
    <w:rsid w:val="00C82481"/>
    <w:rsid w:val="00C85306"/>
    <w:rsid w:val="00C9035F"/>
    <w:rsid w:val="00C96E6B"/>
    <w:rsid w:val="00CB07EE"/>
    <w:rsid w:val="00CC198D"/>
    <w:rsid w:val="00CC502B"/>
    <w:rsid w:val="00CC6F7C"/>
    <w:rsid w:val="00CD0AC7"/>
    <w:rsid w:val="00CD1892"/>
    <w:rsid w:val="00CF133F"/>
    <w:rsid w:val="00D00095"/>
    <w:rsid w:val="00D00D06"/>
    <w:rsid w:val="00D03AF0"/>
    <w:rsid w:val="00D03D71"/>
    <w:rsid w:val="00D06692"/>
    <w:rsid w:val="00D1016C"/>
    <w:rsid w:val="00D14D70"/>
    <w:rsid w:val="00D2341B"/>
    <w:rsid w:val="00D237DF"/>
    <w:rsid w:val="00D30127"/>
    <w:rsid w:val="00D34B45"/>
    <w:rsid w:val="00D3771D"/>
    <w:rsid w:val="00D41C83"/>
    <w:rsid w:val="00D44EA9"/>
    <w:rsid w:val="00D47CE0"/>
    <w:rsid w:val="00D54063"/>
    <w:rsid w:val="00D547ED"/>
    <w:rsid w:val="00D5541A"/>
    <w:rsid w:val="00D57679"/>
    <w:rsid w:val="00D85F4A"/>
    <w:rsid w:val="00D86FFF"/>
    <w:rsid w:val="00D90201"/>
    <w:rsid w:val="00D9731E"/>
    <w:rsid w:val="00D97F68"/>
    <w:rsid w:val="00DA0EB9"/>
    <w:rsid w:val="00DB18A1"/>
    <w:rsid w:val="00DB462A"/>
    <w:rsid w:val="00DB612F"/>
    <w:rsid w:val="00DB703F"/>
    <w:rsid w:val="00DC0F7F"/>
    <w:rsid w:val="00DC3134"/>
    <w:rsid w:val="00DE0A38"/>
    <w:rsid w:val="00DF0CAC"/>
    <w:rsid w:val="00DF1EDA"/>
    <w:rsid w:val="00DF5ED7"/>
    <w:rsid w:val="00E03E34"/>
    <w:rsid w:val="00E055BE"/>
    <w:rsid w:val="00E06AED"/>
    <w:rsid w:val="00E12973"/>
    <w:rsid w:val="00E14E37"/>
    <w:rsid w:val="00E15E26"/>
    <w:rsid w:val="00E24C76"/>
    <w:rsid w:val="00E25740"/>
    <w:rsid w:val="00E26DEA"/>
    <w:rsid w:val="00E32FE8"/>
    <w:rsid w:val="00E35CB0"/>
    <w:rsid w:val="00E412B7"/>
    <w:rsid w:val="00E44D2A"/>
    <w:rsid w:val="00E479A6"/>
    <w:rsid w:val="00E5116A"/>
    <w:rsid w:val="00E52852"/>
    <w:rsid w:val="00E5508F"/>
    <w:rsid w:val="00E55AAB"/>
    <w:rsid w:val="00E56404"/>
    <w:rsid w:val="00E65509"/>
    <w:rsid w:val="00E823E0"/>
    <w:rsid w:val="00E830DA"/>
    <w:rsid w:val="00E836EF"/>
    <w:rsid w:val="00E85899"/>
    <w:rsid w:val="00E86D65"/>
    <w:rsid w:val="00E91608"/>
    <w:rsid w:val="00E92EE0"/>
    <w:rsid w:val="00E94B36"/>
    <w:rsid w:val="00E973C4"/>
    <w:rsid w:val="00EA0E6B"/>
    <w:rsid w:val="00EA1E23"/>
    <w:rsid w:val="00EA4CB7"/>
    <w:rsid w:val="00EB2207"/>
    <w:rsid w:val="00EC0556"/>
    <w:rsid w:val="00EC3ED3"/>
    <w:rsid w:val="00EC4864"/>
    <w:rsid w:val="00EC638D"/>
    <w:rsid w:val="00ED1A74"/>
    <w:rsid w:val="00ED5192"/>
    <w:rsid w:val="00ED5BC8"/>
    <w:rsid w:val="00EE1B6D"/>
    <w:rsid w:val="00F22E7D"/>
    <w:rsid w:val="00F238F0"/>
    <w:rsid w:val="00F2568D"/>
    <w:rsid w:val="00F2737E"/>
    <w:rsid w:val="00F273D5"/>
    <w:rsid w:val="00F31EEF"/>
    <w:rsid w:val="00F34975"/>
    <w:rsid w:val="00F35F74"/>
    <w:rsid w:val="00F40E34"/>
    <w:rsid w:val="00F53968"/>
    <w:rsid w:val="00F53F32"/>
    <w:rsid w:val="00F54F16"/>
    <w:rsid w:val="00F611BC"/>
    <w:rsid w:val="00F676D2"/>
    <w:rsid w:val="00F704DA"/>
    <w:rsid w:val="00F7216B"/>
    <w:rsid w:val="00F72497"/>
    <w:rsid w:val="00F73434"/>
    <w:rsid w:val="00F75EF4"/>
    <w:rsid w:val="00F77EF0"/>
    <w:rsid w:val="00F8106B"/>
    <w:rsid w:val="00F82BA6"/>
    <w:rsid w:val="00F838C0"/>
    <w:rsid w:val="00F9538A"/>
    <w:rsid w:val="00FA6684"/>
    <w:rsid w:val="00FA735D"/>
    <w:rsid w:val="00FC4A42"/>
    <w:rsid w:val="00FD27B1"/>
    <w:rsid w:val="00FD41E1"/>
    <w:rsid w:val="00FE3846"/>
    <w:rsid w:val="00FE6B8A"/>
    <w:rsid w:val="00FE6D75"/>
    <w:rsid w:val="00FE7232"/>
    <w:rsid w:val="00FE7A77"/>
    <w:rsid w:val="00FF2C13"/>
    <w:rsid w:val="00FF4176"/>
    <w:rsid w:val="00FF4EBE"/>
    <w:rsid w:val="00FF5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98DC8"/>
  <w15:docId w15:val="{3FB5A4C5-2B68-4108-A09A-7E80FD0B6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8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519A"/>
    <w:pPr>
      <w:ind w:left="720"/>
      <w:contextualSpacing/>
    </w:pPr>
  </w:style>
  <w:style w:type="paragraph" w:styleId="BalloonText">
    <w:name w:val="Balloon Text"/>
    <w:basedOn w:val="Normal"/>
    <w:link w:val="BalloonTextChar"/>
    <w:uiPriority w:val="99"/>
    <w:semiHidden/>
    <w:unhideWhenUsed/>
    <w:rsid w:val="007851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19A"/>
    <w:rPr>
      <w:rFonts w:ascii="Tahoma" w:hAnsi="Tahoma" w:cs="Tahoma"/>
      <w:sz w:val="16"/>
      <w:szCs w:val="16"/>
    </w:rPr>
  </w:style>
  <w:style w:type="table" w:styleId="TableGrid">
    <w:name w:val="Table Grid"/>
    <w:basedOn w:val="TableNormal"/>
    <w:uiPriority w:val="59"/>
    <w:rsid w:val="0088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1">
    <w:name w:val="Medium Shading 1 Accent 1"/>
    <w:basedOn w:val="TableNormal"/>
    <w:uiPriority w:val="63"/>
    <w:rsid w:val="002062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F27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3D5"/>
  </w:style>
  <w:style w:type="paragraph" w:styleId="Footer">
    <w:name w:val="footer"/>
    <w:basedOn w:val="Normal"/>
    <w:link w:val="FooterChar"/>
    <w:uiPriority w:val="99"/>
    <w:unhideWhenUsed/>
    <w:rsid w:val="00F27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3D5"/>
  </w:style>
  <w:style w:type="character" w:styleId="CommentReference">
    <w:name w:val="annotation reference"/>
    <w:basedOn w:val="DefaultParagraphFont"/>
    <w:uiPriority w:val="99"/>
    <w:semiHidden/>
    <w:unhideWhenUsed/>
    <w:rsid w:val="00F273D5"/>
    <w:rPr>
      <w:sz w:val="16"/>
      <w:szCs w:val="16"/>
    </w:rPr>
  </w:style>
  <w:style w:type="paragraph" w:styleId="CommentText">
    <w:name w:val="annotation text"/>
    <w:basedOn w:val="Normal"/>
    <w:link w:val="CommentTextChar"/>
    <w:uiPriority w:val="99"/>
    <w:semiHidden/>
    <w:unhideWhenUsed/>
    <w:rsid w:val="00F273D5"/>
    <w:pPr>
      <w:spacing w:line="240" w:lineRule="auto"/>
    </w:pPr>
    <w:rPr>
      <w:sz w:val="20"/>
      <w:szCs w:val="20"/>
    </w:rPr>
  </w:style>
  <w:style w:type="character" w:customStyle="1" w:styleId="CommentTextChar">
    <w:name w:val="Comment Text Char"/>
    <w:basedOn w:val="DefaultParagraphFont"/>
    <w:link w:val="CommentText"/>
    <w:uiPriority w:val="99"/>
    <w:semiHidden/>
    <w:rsid w:val="00F273D5"/>
    <w:rPr>
      <w:sz w:val="20"/>
      <w:szCs w:val="20"/>
    </w:rPr>
  </w:style>
  <w:style w:type="paragraph" w:styleId="CommentSubject">
    <w:name w:val="annotation subject"/>
    <w:basedOn w:val="CommentText"/>
    <w:next w:val="CommentText"/>
    <w:link w:val="CommentSubjectChar"/>
    <w:uiPriority w:val="99"/>
    <w:semiHidden/>
    <w:unhideWhenUsed/>
    <w:rsid w:val="00586537"/>
    <w:rPr>
      <w:b/>
      <w:bCs/>
    </w:rPr>
  </w:style>
  <w:style w:type="character" w:customStyle="1" w:styleId="CommentSubjectChar">
    <w:name w:val="Comment Subject Char"/>
    <w:basedOn w:val="CommentTextChar"/>
    <w:link w:val="CommentSubject"/>
    <w:uiPriority w:val="99"/>
    <w:semiHidden/>
    <w:rsid w:val="00586537"/>
    <w:rPr>
      <w:b/>
      <w:bCs/>
      <w:sz w:val="20"/>
      <w:szCs w:val="20"/>
    </w:rPr>
  </w:style>
  <w:style w:type="paragraph" w:styleId="FootnoteText">
    <w:name w:val="footnote text"/>
    <w:basedOn w:val="Normal"/>
    <w:link w:val="FootnoteTextChar"/>
    <w:uiPriority w:val="99"/>
    <w:semiHidden/>
    <w:unhideWhenUsed/>
    <w:rsid w:val="003309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09E0"/>
    <w:rPr>
      <w:sz w:val="20"/>
      <w:szCs w:val="20"/>
    </w:rPr>
  </w:style>
  <w:style w:type="character" w:styleId="FootnoteReference">
    <w:name w:val="footnote reference"/>
    <w:basedOn w:val="DefaultParagraphFont"/>
    <w:uiPriority w:val="99"/>
    <w:semiHidden/>
    <w:unhideWhenUsed/>
    <w:rsid w:val="003309E0"/>
    <w:rPr>
      <w:vertAlign w:val="superscript"/>
    </w:rPr>
  </w:style>
  <w:style w:type="character" w:styleId="Hyperlink">
    <w:name w:val="Hyperlink"/>
    <w:basedOn w:val="DefaultParagraphFont"/>
    <w:uiPriority w:val="99"/>
    <w:unhideWhenUsed/>
    <w:rsid w:val="00BD2AB9"/>
    <w:rPr>
      <w:color w:val="0000FF" w:themeColor="hyperlink"/>
      <w:u w:val="single"/>
    </w:rPr>
  </w:style>
  <w:style w:type="paragraph" w:styleId="NoSpacing">
    <w:name w:val="No Spacing"/>
    <w:uiPriority w:val="1"/>
    <w:qFormat/>
    <w:rsid w:val="00AC0D99"/>
    <w:pPr>
      <w:spacing w:after="0" w:line="240" w:lineRule="auto"/>
    </w:pPr>
  </w:style>
  <w:style w:type="paragraph" w:customStyle="1" w:styleId="Default">
    <w:name w:val="Default"/>
    <w:rsid w:val="000E18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BodyText">
    <w:name w:val="Body Text"/>
    <w:basedOn w:val="Normal"/>
    <w:link w:val="BodyTextChar"/>
    <w:uiPriority w:val="99"/>
    <w:semiHidden/>
    <w:unhideWhenUsed/>
    <w:rsid w:val="00534506"/>
    <w:pPr>
      <w:spacing w:after="240" w:line="360" w:lineRule="auto"/>
    </w:pPr>
    <w:rPr>
      <w:rFonts w:ascii="Times New Roman" w:eastAsiaTheme="minorEastAsia" w:hAnsi="Times New Roman" w:cs="Times New Roman"/>
      <w:szCs w:val="24"/>
    </w:rPr>
  </w:style>
  <w:style w:type="character" w:customStyle="1" w:styleId="BodyTextChar">
    <w:name w:val="Body Text Char"/>
    <w:basedOn w:val="DefaultParagraphFont"/>
    <w:link w:val="BodyText"/>
    <w:uiPriority w:val="99"/>
    <w:semiHidden/>
    <w:rsid w:val="00534506"/>
    <w:rPr>
      <w:rFonts w:ascii="Times New Roman" w:eastAsiaTheme="minorEastAsia" w:hAnsi="Times New Roman" w:cs="Times New Roman"/>
      <w:szCs w:val="24"/>
    </w:rPr>
  </w:style>
  <w:style w:type="paragraph" w:customStyle="1" w:styleId="NORCBullet1TimesNewRomanSquare">
    <w:name w:val="NORC Bullet 1 (Times New Roman Square)"/>
    <w:qFormat/>
    <w:rsid w:val="00534506"/>
    <w:pPr>
      <w:numPr>
        <w:numId w:val="10"/>
      </w:numPr>
      <w:spacing w:after="0" w:line="360" w:lineRule="auto"/>
    </w:pPr>
    <w:rPr>
      <w:rFonts w:ascii="Times New Roman" w:eastAsia="Times New Roman" w:hAnsi="Times New Roman" w:cs="Times New Roman"/>
      <w:szCs w:val="20"/>
    </w:rPr>
  </w:style>
  <w:style w:type="numbering" w:customStyle="1" w:styleId="bullet1Garamond">
    <w:name w:val="bullet 1 Garamond"/>
    <w:rsid w:val="00534506"/>
    <w:pPr>
      <w:numPr>
        <w:numId w:val="10"/>
      </w:numPr>
    </w:pPr>
  </w:style>
  <w:style w:type="character" w:styleId="FollowedHyperlink">
    <w:name w:val="FollowedHyperlink"/>
    <w:basedOn w:val="DefaultParagraphFont"/>
    <w:uiPriority w:val="99"/>
    <w:semiHidden/>
    <w:unhideWhenUsed/>
    <w:rsid w:val="00BF7F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5352">
      <w:bodyDiv w:val="1"/>
      <w:marLeft w:val="0"/>
      <w:marRight w:val="0"/>
      <w:marTop w:val="0"/>
      <w:marBottom w:val="0"/>
      <w:divBdr>
        <w:top w:val="none" w:sz="0" w:space="0" w:color="auto"/>
        <w:left w:val="none" w:sz="0" w:space="0" w:color="auto"/>
        <w:bottom w:val="none" w:sz="0" w:space="0" w:color="auto"/>
        <w:right w:val="none" w:sz="0" w:space="0" w:color="auto"/>
      </w:divBdr>
    </w:div>
    <w:div w:id="29379055">
      <w:bodyDiv w:val="1"/>
      <w:marLeft w:val="0"/>
      <w:marRight w:val="0"/>
      <w:marTop w:val="0"/>
      <w:marBottom w:val="0"/>
      <w:divBdr>
        <w:top w:val="none" w:sz="0" w:space="0" w:color="auto"/>
        <w:left w:val="none" w:sz="0" w:space="0" w:color="auto"/>
        <w:bottom w:val="none" w:sz="0" w:space="0" w:color="auto"/>
        <w:right w:val="none" w:sz="0" w:space="0" w:color="auto"/>
      </w:divBdr>
    </w:div>
    <w:div w:id="71709224">
      <w:bodyDiv w:val="1"/>
      <w:marLeft w:val="0"/>
      <w:marRight w:val="0"/>
      <w:marTop w:val="0"/>
      <w:marBottom w:val="0"/>
      <w:divBdr>
        <w:top w:val="none" w:sz="0" w:space="0" w:color="auto"/>
        <w:left w:val="none" w:sz="0" w:space="0" w:color="auto"/>
        <w:bottom w:val="none" w:sz="0" w:space="0" w:color="auto"/>
        <w:right w:val="none" w:sz="0" w:space="0" w:color="auto"/>
      </w:divBdr>
    </w:div>
    <w:div w:id="116149457">
      <w:bodyDiv w:val="1"/>
      <w:marLeft w:val="0"/>
      <w:marRight w:val="0"/>
      <w:marTop w:val="0"/>
      <w:marBottom w:val="0"/>
      <w:divBdr>
        <w:top w:val="none" w:sz="0" w:space="0" w:color="auto"/>
        <w:left w:val="none" w:sz="0" w:space="0" w:color="auto"/>
        <w:bottom w:val="none" w:sz="0" w:space="0" w:color="auto"/>
        <w:right w:val="none" w:sz="0" w:space="0" w:color="auto"/>
      </w:divBdr>
    </w:div>
    <w:div w:id="441416271">
      <w:bodyDiv w:val="1"/>
      <w:marLeft w:val="0"/>
      <w:marRight w:val="0"/>
      <w:marTop w:val="0"/>
      <w:marBottom w:val="0"/>
      <w:divBdr>
        <w:top w:val="none" w:sz="0" w:space="0" w:color="auto"/>
        <w:left w:val="none" w:sz="0" w:space="0" w:color="auto"/>
        <w:bottom w:val="none" w:sz="0" w:space="0" w:color="auto"/>
        <w:right w:val="none" w:sz="0" w:space="0" w:color="auto"/>
      </w:divBdr>
    </w:div>
    <w:div w:id="449708856">
      <w:bodyDiv w:val="1"/>
      <w:marLeft w:val="0"/>
      <w:marRight w:val="0"/>
      <w:marTop w:val="0"/>
      <w:marBottom w:val="0"/>
      <w:divBdr>
        <w:top w:val="none" w:sz="0" w:space="0" w:color="auto"/>
        <w:left w:val="none" w:sz="0" w:space="0" w:color="auto"/>
        <w:bottom w:val="none" w:sz="0" w:space="0" w:color="auto"/>
        <w:right w:val="none" w:sz="0" w:space="0" w:color="auto"/>
      </w:divBdr>
    </w:div>
    <w:div w:id="766076663">
      <w:bodyDiv w:val="1"/>
      <w:marLeft w:val="0"/>
      <w:marRight w:val="0"/>
      <w:marTop w:val="0"/>
      <w:marBottom w:val="0"/>
      <w:divBdr>
        <w:top w:val="none" w:sz="0" w:space="0" w:color="auto"/>
        <w:left w:val="none" w:sz="0" w:space="0" w:color="auto"/>
        <w:bottom w:val="none" w:sz="0" w:space="0" w:color="auto"/>
        <w:right w:val="none" w:sz="0" w:space="0" w:color="auto"/>
      </w:divBdr>
    </w:div>
    <w:div w:id="826674925">
      <w:bodyDiv w:val="1"/>
      <w:marLeft w:val="0"/>
      <w:marRight w:val="0"/>
      <w:marTop w:val="0"/>
      <w:marBottom w:val="0"/>
      <w:divBdr>
        <w:top w:val="none" w:sz="0" w:space="0" w:color="auto"/>
        <w:left w:val="none" w:sz="0" w:space="0" w:color="auto"/>
        <w:bottom w:val="none" w:sz="0" w:space="0" w:color="auto"/>
        <w:right w:val="none" w:sz="0" w:space="0" w:color="auto"/>
      </w:divBdr>
    </w:div>
    <w:div w:id="865870521">
      <w:bodyDiv w:val="1"/>
      <w:marLeft w:val="0"/>
      <w:marRight w:val="0"/>
      <w:marTop w:val="0"/>
      <w:marBottom w:val="0"/>
      <w:divBdr>
        <w:top w:val="none" w:sz="0" w:space="0" w:color="auto"/>
        <w:left w:val="none" w:sz="0" w:space="0" w:color="auto"/>
        <w:bottom w:val="none" w:sz="0" w:space="0" w:color="auto"/>
        <w:right w:val="none" w:sz="0" w:space="0" w:color="auto"/>
      </w:divBdr>
    </w:div>
    <w:div w:id="927541074">
      <w:bodyDiv w:val="1"/>
      <w:marLeft w:val="0"/>
      <w:marRight w:val="0"/>
      <w:marTop w:val="0"/>
      <w:marBottom w:val="0"/>
      <w:divBdr>
        <w:top w:val="none" w:sz="0" w:space="0" w:color="auto"/>
        <w:left w:val="none" w:sz="0" w:space="0" w:color="auto"/>
        <w:bottom w:val="none" w:sz="0" w:space="0" w:color="auto"/>
        <w:right w:val="none" w:sz="0" w:space="0" w:color="auto"/>
      </w:divBdr>
    </w:div>
    <w:div w:id="956527814">
      <w:bodyDiv w:val="1"/>
      <w:marLeft w:val="0"/>
      <w:marRight w:val="0"/>
      <w:marTop w:val="0"/>
      <w:marBottom w:val="0"/>
      <w:divBdr>
        <w:top w:val="none" w:sz="0" w:space="0" w:color="auto"/>
        <w:left w:val="none" w:sz="0" w:space="0" w:color="auto"/>
        <w:bottom w:val="none" w:sz="0" w:space="0" w:color="auto"/>
        <w:right w:val="none" w:sz="0" w:space="0" w:color="auto"/>
      </w:divBdr>
    </w:div>
    <w:div w:id="991519161">
      <w:bodyDiv w:val="1"/>
      <w:marLeft w:val="0"/>
      <w:marRight w:val="0"/>
      <w:marTop w:val="0"/>
      <w:marBottom w:val="0"/>
      <w:divBdr>
        <w:top w:val="none" w:sz="0" w:space="0" w:color="auto"/>
        <w:left w:val="none" w:sz="0" w:space="0" w:color="auto"/>
        <w:bottom w:val="none" w:sz="0" w:space="0" w:color="auto"/>
        <w:right w:val="none" w:sz="0" w:space="0" w:color="auto"/>
      </w:divBdr>
    </w:div>
    <w:div w:id="1054281172">
      <w:bodyDiv w:val="1"/>
      <w:marLeft w:val="0"/>
      <w:marRight w:val="0"/>
      <w:marTop w:val="0"/>
      <w:marBottom w:val="0"/>
      <w:divBdr>
        <w:top w:val="none" w:sz="0" w:space="0" w:color="auto"/>
        <w:left w:val="none" w:sz="0" w:space="0" w:color="auto"/>
        <w:bottom w:val="none" w:sz="0" w:space="0" w:color="auto"/>
        <w:right w:val="none" w:sz="0" w:space="0" w:color="auto"/>
      </w:divBdr>
    </w:div>
    <w:div w:id="1281375223">
      <w:bodyDiv w:val="1"/>
      <w:marLeft w:val="0"/>
      <w:marRight w:val="0"/>
      <w:marTop w:val="0"/>
      <w:marBottom w:val="0"/>
      <w:divBdr>
        <w:top w:val="none" w:sz="0" w:space="0" w:color="auto"/>
        <w:left w:val="none" w:sz="0" w:space="0" w:color="auto"/>
        <w:bottom w:val="none" w:sz="0" w:space="0" w:color="auto"/>
        <w:right w:val="none" w:sz="0" w:space="0" w:color="auto"/>
      </w:divBdr>
    </w:div>
    <w:div w:id="1393114934">
      <w:bodyDiv w:val="1"/>
      <w:marLeft w:val="0"/>
      <w:marRight w:val="0"/>
      <w:marTop w:val="0"/>
      <w:marBottom w:val="0"/>
      <w:divBdr>
        <w:top w:val="none" w:sz="0" w:space="0" w:color="auto"/>
        <w:left w:val="none" w:sz="0" w:space="0" w:color="auto"/>
        <w:bottom w:val="none" w:sz="0" w:space="0" w:color="auto"/>
        <w:right w:val="none" w:sz="0" w:space="0" w:color="auto"/>
      </w:divBdr>
    </w:div>
    <w:div w:id="1566993667">
      <w:bodyDiv w:val="1"/>
      <w:marLeft w:val="0"/>
      <w:marRight w:val="0"/>
      <w:marTop w:val="0"/>
      <w:marBottom w:val="0"/>
      <w:divBdr>
        <w:top w:val="none" w:sz="0" w:space="0" w:color="auto"/>
        <w:left w:val="none" w:sz="0" w:space="0" w:color="auto"/>
        <w:bottom w:val="none" w:sz="0" w:space="0" w:color="auto"/>
        <w:right w:val="none" w:sz="0" w:space="0" w:color="auto"/>
      </w:divBdr>
    </w:div>
    <w:div w:id="1758821679">
      <w:bodyDiv w:val="1"/>
      <w:marLeft w:val="0"/>
      <w:marRight w:val="0"/>
      <w:marTop w:val="0"/>
      <w:marBottom w:val="0"/>
      <w:divBdr>
        <w:top w:val="none" w:sz="0" w:space="0" w:color="auto"/>
        <w:left w:val="none" w:sz="0" w:space="0" w:color="auto"/>
        <w:bottom w:val="none" w:sz="0" w:space="0" w:color="auto"/>
        <w:right w:val="none" w:sz="0" w:space="0" w:color="auto"/>
      </w:divBdr>
    </w:div>
    <w:div w:id="209034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www-wds.worldbank.org/external/default/WDSContentServer/WDSP/IB/2014/06/19/000333037_20140619121331/Rendered/PDF/ICR31450P115480C0disclosed060170140.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data.mcc.gov/evaluations/index.php/catalog" TargetMode="Externa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data.mcc.gov/evaluations/index.php/catalog"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CA9E50-AC20-4754-A93D-93829F6CCE1E}" type="doc">
      <dgm:prSet loTypeId="urn:microsoft.com/office/officeart/2005/8/layout/hProcess9" loCatId="process" qsTypeId="urn:microsoft.com/office/officeart/2005/8/quickstyle/simple1" qsCatId="simple" csTypeId="urn:microsoft.com/office/officeart/2005/8/colors/accent1_2" csCatId="accent1" phldr="1"/>
      <dgm:spPr/>
    </dgm:pt>
    <dgm:pt modelId="{A5A5B9EC-E346-4556-99D2-C236B6089B27}">
      <dgm:prSet phldrT="[Text]" custT="1"/>
      <dgm:spPr/>
      <dgm:t>
        <a:bodyPr/>
        <a:lstStyle/>
        <a:p>
          <a:r>
            <a:rPr lang="en-US" sz="900"/>
            <a:t>MCC and World Bank funded rehabilitation of lifeline roads</a:t>
          </a:r>
        </a:p>
      </dgm:t>
    </dgm:pt>
    <dgm:pt modelId="{01E437AD-7B96-4EF0-BEBA-ECBF660236B5}" type="parTrans" cxnId="{7A7853AC-9EAC-4D10-B7A0-D5D72FA41CA9}">
      <dgm:prSet/>
      <dgm:spPr/>
      <dgm:t>
        <a:bodyPr/>
        <a:lstStyle/>
        <a:p>
          <a:endParaRPr lang="en-US"/>
        </a:p>
      </dgm:t>
    </dgm:pt>
    <dgm:pt modelId="{DD6F2EC3-3D48-43B8-B6AC-D4CF9A0E3E9C}" type="sibTrans" cxnId="{7A7853AC-9EAC-4D10-B7A0-D5D72FA41CA9}">
      <dgm:prSet/>
      <dgm:spPr/>
      <dgm:t>
        <a:bodyPr/>
        <a:lstStyle/>
        <a:p>
          <a:endParaRPr lang="en-US"/>
        </a:p>
      </dgm:t>
    </dgm:pt>
    <dgm:pt modelId="{A20A1486-2C7B-4D95-982D-A00C9DF155F4}">
      <dgm:prSet phldrT="[Text]" custT="1"/>
      <dgm:spPr/>
      <dgm:t>
        <a:bodyPr/>
        <a:lstStyle/>
        <a:p>
          <a:r>
            <a:rPr lang="en-US" sz="900"/>
            <a:t>Improved quality of the lifeline road network; Increased employment in road construction (World Bank)</a:t>
          </a:r>
        </a:p>
      </dgm:t>
    </dgm:pt>
    <dgm:pt modelId="{B62D0398-6E9C-40A1-B52F-0EBE12C28CA2}" type="parTrans" cxnId="{8D28330C-E39D-4F64-9E2F-12AC2459CB41}">
      <dgm:prSet/>
      <dgm:spPr/>
      <dgm:t>
        <a:bodyPr/>
        <a:lstStyle/>
        <a:p>
          <a:endParaRPr lang="en-US"/>
        </a:p>
      </dgm:t>
    </dgm:pt>
    <dgm:pt modelId="{DB0C9C56-D297-4877-A91C-6423AF4890BF}" type="sibTrans" cxnId="{8D28330C-E39D-4F64-9E2F-12AC2459CB41}">
      <dgm:prSet/>
      <dgm:spPr/>
      <dgm:t>
        <a:bodyPr/>
        <a:lstStyle/>
        <a:p>
          <a:endParaRPr lang="en-US"/>
        </a:p>
      </dgm:t>
    </dgm:pt>
    <dgm:pt modelId="{F42984C7-B98F-4ECB-9F4C-6A16C42E2756}">
      <dgm:prSet phldrT="[Text]" custT="1"/>
      <dgm:spPr/>
      <dgm:t>
        <a:bodyPr/>
        <a:lstStyle/>
        <a:p>
          <a:r>
            <a:rPr lang="en-US" sz="900"/>
            <a:t>Improved access to agricultural markets and social infrastructure</a:t>
          </a:r>
        </a:p>
      </dgm:t>
    </dgm:pt>
    <dgm:pt modelId="{11118A09-BF71-43AC-BA50-19F9AD53D66E}" type="parTrans" cxnId="{98E2F1CD-8564-44E5-B15A-CA3913608D76}">
      <dgm:prSet/>
      <dgm:spPr/>
      <dgm:t>
        <a:bodyPr/>
        <a:lstStyle/>
        <a:p>
          <a:endParaRPr lang="en-US"/>
        </a:p>
      </dgm:t>
    </dgm:pt>
    <dgm:pt modelId="{66C70290-8B13-4DB4-9C55-D4842FD80309}" type="sibTrans" cxnId="{98E2F1CD-8564-44E5-B15A-CA3913608D76}">
      <dgm:prSet/>
      <dgm:spPr/>
      <dgm:t>
        <a:bodyPr/>
        <a:lstStyle/>
        <a:p>
          <a:endParaRPr lang="en-US"/>
        </a:p>
      </dgm:t>
    </dgm:pt>
    <dgm:pt modelId="{49C5A6AD-4368-43A4-8F78-660A9EB6A37E}">
      <dgm:prSet phldrT="[Text]" custT="1"/>
      <dgm:spPr/>
      <dgm:t>
        <a:bodyPr/>
        <a:lstStyle/>
        <a:p>
          <a:r>
            <a:rPr lang="en-US" sz="900"/>
            <a:t>Lower transport costs and increased vehicular activity</a:t>
          </a:r>
        </a:p>
      </dgm:t>
    </dgm:pt>
    <dgm:pt modelId="{48617211-90F1-4D2D-BF2E-515FC2DB1270}" type="parTrans" cxnId="{BC4DBE00-CCE5-49CA-B6DE-16D9916EDE54}">
      <dgm:prSet/>
      <dgm:spPr/>
      <dgm:t>
        <a:bodyPr/>
        <a:lstStyle/>
        <a:p>
          <a:endParaRPr lang="en-US"/>
        </a:p>
      </dgm:t>
    </dgm:pt>
    <dgm:pt modelId="{6C39C83B-9E37-423C-B41D-AE5FF66074BC}" type="sibTrans" cxnId="{BC4DBE00-CCE5-49CA-B6DE-16D9916EDE54}">
      <dgm:prSet/>
      <dgm:spPr/>
      <dgm:t>
        <a:bodyPr/>
        <a:lstStyle/>
        <a:p>
          <a:endParaRPr lang="en-US"/>
        </a:p>
      </dgm:t>
    </dgm:pt>
    <dgm:pt modelId="{0D9BDCE4-45D4-418D-AF29-421F133D2A0B}">
      <dgm:prSet phldrT="[Text]" custT="1"/>
      <dgm:spPr/>
      <dgm:t>
        <a:bodyPr/>
        <a:lstStyle/>
        <a:p>
          <a:r>
            <a:rPr lang="en-US" sz="900"/>
            <a:t>Reduced rural poverty through an increase in the economic performance of the agricultural sector</a:t>
          </a:r>
        </a:p>
      </dgm:t>
    </dgm:pt>
    <dgm:pt modelId="{5D2E240A-8138-4B42-AFAD-B96A029FCE1F}" type="parTrans" cxnId="{F040DB91-9CC0-4577-B097-BCF387E9EF9C}">
      <dgm:prSet/>
      <dgm:spPr/>
      <dgm:t>
        <a:bodyPr/>
        <a:lstStyle/>
        <a:p>
          <a:endParaRPr lang="en-US"/>
        </a:p>
      </dgm:t>
    </dgm:pt>
    <dgm:pt modelId="{B442E27A-AFCB-4BBC-A9EC-447857AD3373}" type="sibTrans" cxnId="{F040DB91-9CC0-4577-B097-BCF387E9EF9C}">
      <dgm:prSet/>
      <dgm:spPr/>
      <dgm:t>
        <a:bodyPr/>
        <a:lstStyle/>
        <a:p>
          <a:endParaRPr lang="en-US"/>
        </a:p>
      </dgm:t>
    </dgm:pt>
    <dgm:pt modelId="{430BB795-1963-444B-B3FE-4661B4D4BC8C}">
      <dgm:prSet phldrT="[Text]" custT="1"/>
      <dgm:spPr/>
      <dgm:t>
        <a:bodyPr/>
        <a:lstStyle/>
        <a:p>
          <a:r>
            <a:rPr lang="en-US" sz="900"/>
            <a:t>Increased investment, employment, and production primarily in agriculture</a:t>
          </a:r>
        </a:p>
      </dgm:t>
    </dgm:pt>
    <dgm:pt modelId="{0E4DDB57-49DA-4951-8D9C-AC3E12DAD685}" type="parTrans" cxnId="{2BA6FEF8-4916-49AB-A49C-E36348F23FEC}">
      <dgm:prSet/>
      <dgm:spPr/>
      <dgm:t>
        <a:bodyPr/>
        <a:lstStyle/>
        <a:p>
          <a:endParaRPr lang="en-US"/>
        </a:p>
      </dgm:t>
    </dgm:pt>
    <dgm:pt modelId="{A5DAA07A-4BBA-46EF-9071-97121F198200}" type="sibTrans" cxnId="{2BA6FEF8-4916-49AB-A49C-E36348F23FEC}">
      <dgm:prSet/>
      <dgm:spPr/>
      <dgm:t>
        <a:bodyPr/>
        <a:lstStyle/>
        <a:p>
          <a:endParaRPr lang="en-US"/>
        </a:p>
      </dgm:t>
    </dgm:pt>
    <dgm:pt modelId="{30DF9744-2ADC-4896-AC05-DFB7A70E2B5A}" type="pres">
      <dgm:prSet presAssocID="{8CCA9E50-AC20-4754-A93D-93829F6CCE1E}" presName="CompostProcess" presStyleCnt="0">
        <dgm:presLayoutVars>
          <dgm:dir/>
          <dgm:resizeHandles val="exact"/>
        </dgm:presLayoutVars>
      </dgm:prSet>
      <dgm:spPr/>
    </dgm:pt>
    <dgm:pt modelId="{F50E365A-CB10-4890-A85E-859ABD9C9E0C}" type="pres">
      <dgm:prSet presAssocID="{8CCA9E50-AC20-4754-A93D-93829F6CCE1E}" presName="arrow" presStyleLbl="bgShp" presStyleIdx="0" presStyleCnt="1"/>
      <dgm:spPr/>
    </dgm:pt>
    <dgm:pt modelId="{F446876B-6A49-4152-BB51-47747D74B4C3}" type="pres">
      <dgm:prSet presAssocID="{8CCA9E50-AC20-4754-A93D-93829F6CCE1E}" presName="linearProcess" presStyleCnt="0"/>
      <dgm:spPr/>
    </dgm:pt>
    <dgm:pt modelId="{35CC3961-9509-44F1-B4CB-40BD910D087D}" type="pres">
      <dgm:prSet presAssocID="{A5A5B9EC-E346-4556-99D2-C236B6089B27}" presName="textNode" presStyleLbl="node1" presStyleIdx="0" presStyleCnt="6" custScaleX="109033" custScaleY="127743" custLinFactNeighborX="-22498" custLinFactNeighborY="2351">
        <dgm:presLayoutVars>
          <dgm:bulletEnabled val="1"/>
        </dgm:presLayoutVars>
      </dgm:prSet>
      <dgm:spPr/>
      <dgm:t>
        <a:bodyPr/>
        <a:lstStyle/>
        <a:p>
          <a:endParaRPr lang="en-US"/>
        </a:p>
      </dgm:t>
    </dgm:pt>
    <dgm:pt modelId="{0D67128C-14BB-4150-8728-28F3DFAA7124}" type="pres">
      <dgm:prSet presAssocID="{DD6F2EC3-3D48-43B8-B6AC-D4CF9A0E3E9C}" presName="sibTrans" presStyleCnt="0"/>
      <dgm:spPr/>
    </dgm:pt>
    <dgm:pt modelId="{CA9D1271-037E-408B-9F92-432B43FF6814}" type="pres">
      <dgm:prSet presAssocID="{A20A1486-2C7B-4D95-982D-A00C9DF155F4}" presName="textNode" presStyleLbl="node1" presStyleIdx="1" presStyleCnt="6" custScaleX="120942" custScaleY="127743">
        <dgm:presLayoutVars>
          <dgm:bulletEnabled val="1"/>
        </dgm:presLayoutVars>
      </dgm:prSet>
      <dgm:spPr/>
      <dgm:t>
        <a:bodyPr/>
        <a:lstStyle/>
        <a:p>
          <a:endParaRPr lang="en-US"/>
        </a:p>
      </dgm:t>
    </dgm:pt>
    <dgm:pt modelId="{8815EED6-C7DA-459E-B68A-A60DEED39B9D}" type="pres">
      <dgm:prSet presAssocID="{DB0C9C56-D297-4877-A91C-6423AF4890BF}" presName="sibTrans" presStyleCnt="0"/>
      <dgm:spPr/>
    </dgm:pt>
    <dgm:pt modelId="{6DAA4366-8FD9-477B-8715-D728F179F0B6}" type="pres">
      <dgm:prSet presAssocID="{49C5A6AD-4368-43A4-8F78-660A9EB6A37E}" presName="textNode" presStyleLbl="node1" presStyleIdx="2" presStyleCnt="6" custScaleX="113150" custScaleY="123041">
        <dgm:presLayoutVars>
          <dgm:bulletEnabled val="1"/>
        </dgm:presLayoutVars>
      </dgm:prSet>
      <dgm:spPr/>
      <dgm:t>
        <a:bodyPr/>
        <a:lstStyle/>
        <a:p>
          <a:endParaRPr lang="en-US"/>
        </a:p>
      </dgm:t>
    </dgm:pt>
    <dgm:pt modelId="{F464BB76-F5B7-4A4E-ACBB-026C4872AF0F}" type="pres">
      <dgm:prSet presAssocID="{6C39C83B-9E37-423C-B41D-AE5FF66074BC}" presName="sibTrans" presStyleCnt="0"/>
      <dgm:spPr/>
    </dgm:pt>
    <dgm:pt modelId="{0206F304-E120-4DAD-97C7-6DBE36029880}" type="pres">
      <dgm:prSet presAssocID="{F42984C7-B98F-4ECB-9F4C-6A16C42E2756}" presName="textNode" presStyleLbl="node1" presStyleIdx="3" presStyleCnt="6" custScaleX="117490" custScaleY="126176">
        <dgm:presLayoutVars>
          <dgm:bulletEnabled val="1"/>
        </dgm:presLayoutVars>
      </dgm:prSet>
      <dgm:spPr/>
      <dgm:t>
        <a:bodyPr/>
        <a:lstStyle/>
        <a:p>
          <a:endParaRPr lang="en-US"/>
        </a:p>
      </dgm:t>
    </dgm:pt>
    <dgm:pt modelId="{855D8C93-49D9-4641-9787-51DE57FD49C8}" type="pres">
      <dgm:prSet presAssocID="{66C70290-8B13-4DB4-9C55-D4842FD80309}" presName="sibTrans" presStyleCnt="0"/>
      <dgm:spPr/>
    </dgm:pt>
    <dgm:pt modelId="{455ED42B-C146-47AB-84B5-EE57A1E78B72}" type="pres">
      <dgm:prSet presAssocID="{430BB795-1963-444B-B3FE-4661B4D4BC8C}" presName="textNode" presStyleLbl="node1" presStyleIdx="4" presStyleCnt="6" custScaleX="122814" custScaleY="127743">
        <dgm:presLayoutVars>
          <dgm:bulletEnabled val="1"/>
        </dgm:presLayoutVars>
      </dgm:prSet>
      <dgm:spPr/>
      <dgm:t>
        <a:bodyPr/>
        <a:lstStyle/>
        <a:p>
          <a:endParaRPr lang="en-US"/>
        </a:p>
      </dgm:t>
    </dgm:pt>
    <dgm:pt modelId="{2BF67545-B3C1-4CEB-89CA-88E4BC39F280}" type="pres">
      <dgm:prSet presAssocID="{A5DAA07A-4BBA-46EF-9071-97121F198200}" presName="sibTrans" presStyleCnt="0"/>
      <dgm:spPr/>
    </dgm:pt>
    <dgm:pt modelId="{CEAFB365-FC97-455F-AD82-CF472552A35D}" type="pres">
      <dgm:prSet presAssocID="{0D9BDCE4-45D4-418D-AF29-421F133D2A0B}" presName="textNode" presStyleLbl="node1" presStyleIdx="5" presStyleCnt="6" custScaleX="126420" custScaleY="119906">
        <dgm:presLayoutVars>
          <dgm:bulletEnabled val="1"/>
        </dgm:presLayoutVars>
      </dgm:prSet>
      <dgm:spPr/>
      <dgm:t>
        <a:bodyPr/>
        <a:lstStyle/>
        <a:p>
          <a:endParaRPr lang="en-US"/>
        </a:p>
      </dgm:t>
    </dgm:pt>
  </dgm:ptLst>
  <dgm:cxnLst>
    <dgm:cxn modelId="{58037743-89F6-45AC-8A75-F985E62F74D0}" type="presOf" srcId="{F42984C7-B98F-4ECB-9F4C-6A16C42E2756}" destId="{0206F304-E120-4DAD-97C7-6DBE36029880}" srcOrd="0" destOrd="0" presId="urn:microsoft.com/office/officeart/2005/8/layout/hProcess9"/>
    <dgm:cxn modelId="{F040DB91-9CC0-4577-B097-BCF387E9EF9C}" srcId="{8CCA9E50-AC20-4754-A93D-93829F6CCE1E}" destId="{0D9BDCE4-45D4-418D-AF29-421F133D2A0B}" srcOrd="5" destOrd="0" parTransId="{5D2E240A-8138-4B42-AFAD-B96A029FCE1F}" sibTransId="{B442E27A-AFCB-4BBC-A9EC-447857AD3373}"/>
    <dgm:cxn modelId="{8D28330C-E39D-4F64-9E2F-12AC2459CB41}" srcId="{8CCA9E50-AC20-4754-A93D-93829F6CCE1E}" destId="{A20A1486-2C7B-4D95-982D-A00C9DF155F4}" srcOrd="1" destOrd="0" parTransId="{B62D0398-6E9C-40A1-B52F-0EBE12C28CA2}" sibTransId="{DB0C9C56-D297-4877-A91C-6423AF4890BF}"/>
    <dgm:cxn modelId="{C8943F2C-5770-4DDF-B594-65B2E27805AF}" type="presOf" srcId="{A5A5B9EC-E346-4556-99D2-C236B6089B27}" destId="{35CC3961-9509-44F1-B4CB-40BD910D087D}" srcOrd="0" destOrd="0" presId="urn:microsoft.com/office/officeart/2005/8/layout/hProcess9"/>
    <dgm:cxn modelId="{CEDA8B44-5A8B-4DC8-80B7-62A0508D7409}" type="presOf" srcId="{8CCA9E50-AC20-4754-A93D-93829F6CCE1E}" destId="{30DF9744-2ADC-4896-AC05-DFB7A70E2B5A}" srcOrd="0" destOrd="0" presId="urn:microsoft.com/office/officeart/2005/8/layout/hProcess9"/>
    <dgm:cxn modelId="{7A7853AC-9EAC-4D10-B7A0-D5D72FA41CA9}" srcId="{8CCA9E50-AC20-4754-A93D-93829F6CCE1E}" destId="{A5A5B9EC-E346-4556-99D2-C236B6089B27}" srcOrd="0" destOrd="0" parTransId="{01E437AD-7B96-4EF0-BEBA-ECBF660236B5}" sibTransId="{DD6F2EC3-3D48-43B8-B6AC-D4CF9A0E3E9C}"/>
    <dgm:cxn modelId="{BC4DBE00-CCE5-49CA-B6DE-16D9916EDE54}" srcId="{8CCA9E50-AC20-4754-A93D-93829F6CCE1E}" destId="{49C5A6AD-4368-43A4-8F78-660A9EB6A37E}" srcOrd="2" destOrd="0" parTransId="{48617211-90F1-4D2D-BF2E-515FC2DB1270}" sibTransId="{6C39C83B-9E37-423C-B41D-AE5FF66074BC}"/>
    <dgm:cxn modelId="{58393E17-0F93-4FEE-BB4B-20C452472FD6}" type="presOf" srcId="{A20A1486-2C7B-4D95-982D-A00C9DF155F4}" destId="{CA9D1271-037E-408B-9F92-432B43FF6814}" srcOrd="0" destOrd="0" presId="urn:microsoft.com/office/officeart/2005/8/layout/hProcess9"/>
    <dgm:cxn modelId="{98E2F1CD-8564-44E5-B15A-CA3913608D76}" srcId="{8CCA9E50-AC20-4754-A93D-93829F6CCE1E}" destId="{F42984C7-B98F-4ECB-9F4C-6A16C42E2756}" srcOrd="3" destOrd="0" parTransId="{11118A09-BF71-43AC-BA50-19F9AD53D66E}" sibTransId="{66C70290-8B13-4DB4-9C55-D4842FD80309}"/>
    <dgm:cxn modelId="{97792710-674F-47F8-8544-FAD5D580E387}" type="presOf" srcId="{0D9BDCE4-45D4-418D-AF29-421F133D2A0B}" destId="{CEAFB365-FC97-455F-AD82-CF472552A35D}" srcOrd="0" destOrd="0" presId="urn:microsoft.com/office/officeart/2005/8/layout/hProcess9"/>
    <dgm:cxn modelId="{0B9DD1BC-C7C7-44C3-8FCA-1A4C24DBD494}" type="presOf" srcId="{49C5A6AD-4368-43A4-8F78-660A9EB6A37E}" destId="{6DAA4366-8FD9-477B-8715-D728F179F0B6}" srcOrd="0" destOrd="0" presId="urn:microsoft.com/office/officeart/2005/8/layout/hProcess9"/>
    <dgm:cxn modelId="{C8608C5D-2D93-4750-BF84-654696DDA699}" type="presOf" srcId="{430BB795-1963-444B-B3FE-4661B4D4BC8C}" destId="{455ED42B-C146-47AB-84B5-EE57A1E78B72}" srcOrd="0" destOrd="0" presId="urn:microsoft.com/office/officeart/2005/8/layout/hProcess9"/>
    <dgm:cxn modelId="{2BA6FEF8-4916-49AB-A49C-E36348F23FEC}" srcId="{8CCA9E50-AC20-4754-A93D-93829F6CCE1E}" destId="{430BB795-1963-444B-B3FE-4661B4D4BC8C}" srcOrd="4" destOrd="0" parTransId="{0E4DDB57-49DA-4951-8D9C-AC3E12DAD685}" sibTransId="{A5DAA07A-4BBA-46EF-9071-97121F198200}"/>
    <dgm:cxn modelId="{EF70B2D8-3468-47D7-A590-09CDBFAD81EB}" type="presParOf" srcId="{30DF9744-2ADC-4896-AC05-DFB7A70E2B5A}" destId="{F50E365A-CB10-4890-A85E-859ABD9C9E0C}" srcOrd="0" destOrd="0" presId="urn:microsoft.com/office/officeart/2005/8/layout/hProcess9"/>
    <dgm:cxn modelId="{A2C82FA4-FF58-43F8-AF13-A8D859C46AF9}" type="presParOf" srcId="{30DF9744-2ADC-4896-AC05-DFB7A70E2B5A}" destId="{F446876B-6A49-4152-BB51-47747D74B4C3}" srcOrd="1" destOrd="0" presId="urn:microsoft.com/office/officeart/2005/8/layout/hProcess9"/>
    <dgm:cxn modelId="{8A1350C5-FC5F-49CF-B89C-B770C899BACC}" type="presParOf" srcId="{F446876B-6A49-4152-BB51-47747D74B4C3}" destId="{35CC3961-9509-44F1-B4CB-40BD910D087D}" srcOrd="0" destOrd="0" presId="urn:microsoft.com/office/officeart/2005/8/layout/hProcess9"/>
    <dgm:cxn modelId="{68EE9A55-DF65-4AD0-8770-4F44072511EB}" type="presParOf" srcId="{F446876B-6A49-4152-BB51-47747D74B4C3}" destId="{0D67128C-14BB-4150-8728-28F3DFAA7124}" srcOrd="1" destOrd="0" presId="urn:microsoft.com/office/officeart/2005/8/layout/hProcess9"/>
    <dgm:cxn modelId="{DCA9403F-DA04-426A-AB5C-68E56518D8AC}" type="presParOf" srcId="{F446876B-6A49-4152-BB51-47747D74B4C3}" destId="{CA9D1271-037E-408B-9F92-432B43FF6814}" srcOrd="2" destOrd="0" presId="urn:microsoft.com/office/officeart/2005/8/layout/hProcess9"/>
    <dgm:cxn modelId="{BCE82BD9-7C1F-4C49-B93A-7D8097592291}" type="presParOf" srcId="{F446876B-6A49-4152-BB51-47747D74B4C3}" destId="{8815EED6-C7DA-459E-B68A-A60DEED39B9D}" srcOrd="3" destOrd="0" presId="urn:microsoft.com/office/officeart/2005/8/layout/hProcess9"/>
    <dgm:cxn modelId="{DD323F33-EDF7-4BB6-926C-EAA077E2D9E9}" type="presParOf" srcId="{F446876B-6A49-4152-BB51-47747D74B4C3}" destId="{6DAA4366-8FD9-477B-8715-D728F179F0B6}" srcOrd="4" destOrd="0" presId="urn:microsoft.com/office/officeart/2005/8/layout/hProcess9"/>
    <dgm:cxn modelId="{9FCD767F-FFB7-4D95-9743-AE1960B619A5}" type="presParOf" srcId="{F446876B-6A49-4152-BB51-47747D74B4C3}" destId="{F464BB76-F5B7-4A4E-ACBB-026C4872AF0F}" srcOrd="5" destOrd="0" presId="urn:microsoft.com/office/officeart/2005/8/layout/hProcess9"/>
    <dgm:cxn modelId="{691C0F92-E671-4B6B-87F5-9E4310AAC591}" type="presParOf" srcId="{F446876B-6A49-4152-BB51-47747D74B4C3}" destId="{0206F304-E120-4DAD-97C7-6DBE36029880}" srcOrd="6" destOrd="0" presId="urn:microsoft.com/office/officeart/2005/8/layout/hProcess9"/>
    <dgm:cxn modelId="{1F9A4229-A72B-4EF2-9391-71955A0619E2}" type="presParOf" srcId="{F446876B-6A49-4152-BB51-47747D74B4C3}" destId="{855D8C93-49D9-4641-9787-51DE57FD49C8}" srcOrd="7" destOrd="0" presId="urn:microsoft.com/office/officeart/2005/8/layout/hProcess9"/>
    <dgm:cxn modelId="{8C7BDDD4-7BB1-4993-9CB4-5465C8CF7183}" type="presParOf" srcId="{F446876B-6A49-4152-BB51-47747D74B4C3}" destId="{455ED42B-C146-47AB-84B5-EE57A1E78B72}" srcOrd="8" destOrd="0" presId="urn:microsoft.com/office/officeart/2005/8/layout/hProcess9"/>
    <dgm:cxn modelId="{68B21362-876C-4946-803A-0401993F8D4A}" type="presParOf" srcId="{F446876B-6A49-4152-BB51-47747D74B4C3}" destId="{2BF67545-B3C1-4CEB-89CA-88E4BC39F280}" srcOrd="9" destOrd="0" presId="urn:microsoft.com/office/officeart/2005/8/layout/hProcess9"/>
    <dgm:cxn modelId="{599FEDA6-C029-4252-A889-D2ED4E06C08D}" type="presParOf" srcId="{F446876B-6A49-4152-BB51-47747D74B4C3}" destId="{CEAFB365-FC97-455F-AD82-CF472552A35D}" srcOrd="10" destOrd="0" presId="urn:microsoft.com/office/officeart/2005/8/layout/hProcess9"/>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50E365A-CB10-4890-A85E-859ABD9C9E0C}">
      <dsp:nvSpPr>
        <dsp:cNvPr id="0" name=""/>
        <dsp:cNvSpPr/>
      </dsp:nvSpPr>
      <dsp:spPr>
        <a:xfrm>
          <a:off x="424338" y="0"/>
          <a:ext cx="4809172" cy="3038475"/>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5CC3961-9509-44F1-B4CB-40BD910D087D}">
      <dsp:nvSpPr>
        <dsp:cNvPr id="0" name=""/>
        <dsp:cNvSpPr/>
      </dsp:nvSpPr>
      <dsp:spPr>
        <a:xfrm>
          <a:off x="0" y="771523"/>
          <a:ext cx="777139" cy="155257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MCC and World Bank funded rehabilitation of lifeline roads</a:t>
          </a:r>
        </a:p>
      </dsp:txBody>
      <dsp:txXfrm>
        <a:off x="37937" y="809460"/>
        <a:ext cx="701265" cy="1476701"/>
      </dsp:txXfrm>
    </dsp:sp>
    <dsp:sp modelId="{CA9D1271-037E-408B-9F92-432B43FF6814}">
      <dsp:nvSpPr>
        <dsp:cNvPr id="0" name=""/>
        <dsp:cNvSpPr/>
      </dsp:nvSpPr>
      <dsp:spPr>
        <a:xfrm>
          <a:off x="898128" y="742949"/>
          <a:ext cx="862021" cy="155257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Improved quality of the lifeline road network; Increased employment in road construction (World Bank)</a:t>
          </a:r>
        </a:p>
      </dsp:txBody>
      <dsp:txXfrm>
        <a:off x="940208" y="785029"/>
        <a:ext cx="777861" cy="1468415"/>
      </dsp:txXfrm>
    </dsp:sp>
    <dsp:sp modelId="{6DAA4366-8FD9-477B-8715-D728F179F0B6}">
      <dsp:nvSpPr>
        <dsp:cNvPr id="0" name=""/>
        <dsp:cNvSpPr/>
      </dsp:nvSpPr>
      <dsp:spPr>
        <a:xfrm>
          <a:off x="1878942" y="771523"/>
          <a:ext cx="806483" cy="149542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Lower transport costs and increased vehicular activity</a:t>
          </a:r>
        </a:p>
      </dsp:txBody>
      <dsp:txXfrm>
        <a:off x="1918311" y="810892"/>
        <a:ext cx="727745" cy="1416690"/>
      </dsp:txXfrm>
    </dsp:sp>
    <dsp:sp modelId="{0206F304-E120-4DAD-97C7-6DBE36029880}">
      <dsp:nvSpPr>
        <dsp:cNvPr id="0" name=""/>
        <dsp:cNvSpPr/>
      </dsp:nvSpPr>
      <dsp:spPr>
        <a:xfrm>
          <a:off x="2804219" y="752472"/>
          <a:ext cx="837417" cy="153353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Improved access to agricultural markets and social infrastructure</a:t>
          </a:r>
        </a:p>
      </dsp:txBody>
      <dsp:txXfrm>
        <a:off x="2845098" y="793351"/>
        <a:ext cx="755659" cy="1451772"/>
      </dsp:txXfrm>
    </dsp:sp>
    <dsp:sp modelId="{455ED42B-C146-47AB-84B5-EE57A1E78B72}">
      <dsp:nvSpPr>
        <dsp:cNvPr id="0" name=""/>
        <dsp:cNvSpPr/>
      </dsp:nvSpPr>
      <dsp:spPr>
        <a:xfrm>
          <a:off x="3760430" y="742949"/>
          <a:ext cx="875364" cy="155257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Increased investment, employment, and production primarily in agriculture</a:t>
          </a:r>
        </a:p>
      </dsp:txBody>
      <dsp:txXfrm>
        <a:off x="3803162" y="785681"/>
        <a:ext cx="789900" cy="1467111"/>
      </dsp:txXfrm>
    </dsp:sp>
    <dsp:sp modelId="{CEAFB365-FC97-455F-AD82-CF472552A35D}">
      <dsp:nvSpPr>
        <dsp:cNvPr id="0" name=""/>
        <dsp:cNvSpPr/>
      </dsp:nvSpPr>
      <dsp:spPr>
        <a:xfrm>
          <a:off x="4754587" y="790574"/>
          <a:ext cx="901066" cy="145732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Reduced rural poverty through an increase in the economic performance of the agricultural sector</a:t>
          </a:r>
        </a:p>
      </dsp:txBody>
      <dsp:txXfrm>
        <a:off x="4798573" y="834560"/>
        <a:ext cx="813094" cy="1369353"/>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B9948-3372-4DCF-9256-A821280E6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6</Pages>
  <Words>2304</Words>
  <Characters>13136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MCC</Company>
  <LinksUpToDate>false</LinksUpToDate>
  <CharactersWithSpaces>15410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Sturdy, Jennifer R (DPE/EE-ME)</dc:creator>
  <cp:lastModifiedBy>Goldsmith, Rebecca H (DPE/EE-ME)</cp:lastModifiedBy>
  <cp:revision>57</cp:revision>
  <cp:lastPrinted>2012-10-23T00:00:00Z</cp:lastPrinted>
  <dcterms:created xsi:type="dcterms:W3CDTF">2014-11-06T17:27:00Z</dcterms:created>
  <dcterms:modified xsi:type="dcterms:W3CDTF">2015-03-23T21:27:00Z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-898412091</vt:i4>
  </property>
</Properties>
</file>